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3F" w:rsidRDefault="00FB5D3F" w:rsidP="000959C0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FB5D3F" w:rsidRPr="00FB5D3F" w:rsidRDefault="00FB5D3F" w:rsidP="00FB5D3F">
      <w:pPr>
        <w:spacing w:line="620" w:lineRule="exact"/>
        <w:rPr>
          <w:rFonts w:ascii="黑体" w:eastAsia="黑体" w:hAnsi="黑体" w:cs="仿宋_GB2312"/>
          <w:sz w:val="32"/>
          <w:szCs w:val="32"/>
        </w:rPr>
      </w:pPr>
      <w:r w:rsidRPr="00FB5D3F">
        <w:rPr>
          <w:rFonts w:ascii="黑体" w:eastAsia="黑体" w:hAnsi="黑体" w:cs="黑体" w:hint="eastAsia"/>
          <w:sz w:val="32"/>
          <w:szCs w:val="32"/>
        </w:rPr>
        <w:t>附件</w:t>
      </w:r>
    </w:p>
    <w:p w:rsidR="00FB5D3F" w:rsidRDefault="00FB5D3F" w:rsidP="00FB5D3F">
      <w:pPr>
        <w:spacing w:line="62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FB5D3F" w:rsidRDefault="00FB5D3F" w:rsidP="00FB5D3F">
      <w:pPr>
        <w:spacing w:line="6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OLE_LINK1"/>
      <w:bookmarkStart w:id="1" w:name="OLE_LINK2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关于进一步加强全省房屋市政工程</w:t>
      </w:r>
    </w:p>
    <w:p w:rsidR="00FB5D3F" w:rsidRDefault="00FB5D3F" w:rsidP="00FB5D3F">
      <w:pPr>
        <w:spacing w:line="6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建设全过程管理的指导意见</w:t>
      </w:r>
    </w:p>
    <w:bookmarkEnd w:id="0"/>
    <w:bookmarkEnd w:id="1"/>
    <w:p w:rsidR="00FB5D3F" w:rsidRPr="00FB5D3F" w:rsidRDefault="00FB5D3F" w:rsidP="00FB5D3F">
      <w:pPr>
        <w:spacing w:line="620" w:lineRule="exact"/>
        <w:jc w:val="center"/>
        <w:rPr>
          <w:rFonts w:ascii="楷体_GB2312" w:eastAsia="楷体_GB2312" w:hAnsi="方正小标宋_GBK" w:cs="方正小标宋_GBK" w:hint="eastAsia"/>
          <w:sz w:val="32"/>
          <w:szCs w:val="32"/>
        </w:rPr>
      </w:pPr>
      <w:r w:rsidRPr="00FB5D3F">
        <w:rPr>
          <w:rFonts w:ascii="楷体_GB2312" w:eastAsia="楷体_GB2312" w:hAnsi="方正小标宋_GBK" w:cs="方正小标宋_GBK" w:hint="eastAsia"/>
          <w:sz w:val="32"/>
          <w:szCs w:val="32"/>
        </w:rPr>
        <w:t>（试行）</w:t>
      </w:r>
    </w:p>
    <w:p w:rsidR="00FB5D3F" w:rsidRDefault="00FB5D3F" w:rsidP="00FB5D3F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为全面加强房屋市政工程建设全过程管理，保障工程质量安全，规范建筑市场秩序，推动高质量发展，现就强化有关管理要求提出如下指导意见。</w:t>
      </w:r>
    </w:p>
    <w:p w:rsidR="00FB5D3F" w:rsidRDefault="00FB5D3F" w:rsidP="00FB5D3F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一、强化主管部门全过程监管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（一）实行交底加强源头监管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开工前，主管部门应向参建单位进行书面交底，明确监督事项、监督要求、监督标准。发放重点部位、重点环节、重点事项监督提示函，包括地基与基础、主体结构、危大工程、隐蔽工程、预拌混凝土等。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将大跨度、人员密集场所建筑，超危大工程，技术难度大、参建单位多、交叉作业多、近3年发生过质量安全事故企业承建的项目列为重点监督对象。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（二）实施包保夯实过程监管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主管部门应当明确具体监管包保责任人，制定《监督检查计划》，定期检查工程实体、市场行为和施工资料，重点是质量安全检查记录、隐蔽工程验收记录、施工日志、监理日志等，每月检查不少于1次。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《监督检查台账》《问题隐患清单》签字留档，并跟踪督办整改实现闭环。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trike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（三）严厉打击违法分包转包挂靠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实行“三查”，一查施工单位项目负责人、技术负责人、质量负责人、安全负责人及监理单位总监理工程师、专业监理工程师是否与投标承诺一致；二查是否签订劳动合同、建立劳动工资和社保关系；三查实名制打卡率是否达到80%以上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设立投诉举报电话，查实存在违法发包、肢解发包、未批先建、违法分包、转包、挂靠等行为，严格依法惩处。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（四）齐抓共管健全协同监管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县（市、区）主管部门全覆盖监管辖区内所有在建项目，市（州）抽查比例不少于10%，省厅抽查比例不少于5%，近3年内发生质量安全事故企业的在建项目为必查项目。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单位和个人列入建筑市场“黑名单”的，推送至信用中国（吉林）网站，并将问题线索移送同级纪检监察、公安、司法机关和市场监管等部门，实行“联合惩戒”。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二、强化建设单位首要责任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（五）明确首要责任内容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制定《建设单位首要责任清单》，明确其具体职责。包括发包、施工图送审、施工许可证办理、消防审验及质量、安全、工期、造价和市场行为管理、竣工验收备案等环节。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建设单位是工程质量第一责任人，依法对工程质量承担全面责任；未办理施工许可和安全监督手续造成安全事故的，承担安全生产责任。开工前，法定代表人应签署《授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权书》，明确项目负责人；项目负责人签署《工程质量终身责任承诺书》《安全生产责任承诺书》，对工程（设计使用年限内）质量终身负责，对施工过程中的安全生产负责。</w:t>
      </w:r>
    </w:p>
    <w:p w:rsidR="00FB5D3F" w:rsidRDefault="00FB5D3F" w:rsidP="00FB5D3F">
      <w:pPr>
        <w:pStyle w:val="20"/>
        <w:spacing w:line="620" w:lineRule="exact"/>
        <w:ind w:leftChars="0"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（六）认真履行法定及合同约定义务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开工前，组织设计、施工、监理等单位进行图纸会审。禁止明示或暗示设计、施工等单位违反强制性标准，使用不合格建筑材料、构配件和设施设备。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合理确定工程造价和工期，按合同约定支付款项，及时组织竣工验收和进行工程结算。依法应当进行消防验收的建设工程，未经消防验收合格，禁止投入使用。</w:t>
      </w:r>
    </w:p>
    <w:p w:rsidR="00FB5D3F" w:rsidRDefault="00FB5D3F" w:rsidP="00FB5D3F">
      <w:pPr>
        <w:pStyle w:val="20"/>
        <w:spacing w:line="620" w:lineRule="exact"/>
        <w:ind w:leftChars="0"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（七）落实项目全过程管理责任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建立项目管理体系，明确勘察、设计、施工、竣工验收各阶段管理责任。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质量、安全、市场行为考核制度，每周至少组织参建单位召开1次质量安全专题会，组织1次项目质量安全巡查检查，对各参建单位质量安全管理体系及施工、监理单位关键岗位人员配备和到岗履职情况进行检查。</w:t>
      </w:r>
      <w:r>
        <w:rPr>
          <w:rFonts w:ascii="黑体" w:eastAsia="黑体" w:hAnsi="黑体" w:cs="黑体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发现关键岗位人员不到岗履职、降低工程质量安全标准、存在质量安全隐患的，督促责任单位和责任人立即整改，并向属地主管部门报告。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三、强化勘察设计质量管理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（八）加强勘察设计行为管理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严格落实“校对、审核、审定”三级校审制度。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设计文件必须有项目负责人、专业负责人签字，并在施工前将审查合格的设计文件，向施工及监理单位做出设计交底。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（九）规范设计变更和验收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涉及结构安全和使用功能的设计变更，必须重新进行施工图审查。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禁止在违反强制性标准或不满足设计规范的设计文件上签字，在分部验收、竣工验收时，必须按设计文件查验后签字。</w:t>
      </w:r>
    </w:p>
    <w:p w:rsidR="00FB5D3F" w:rsidRDefault="00FB5D3F" w:rsidP="00FB5D3F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四、强化施工质量安全管理</w:t>
      </w:r>
    </w:p>
    <w:p w:rsidR="00FB5D3F" w:rsidRDefault="00FB5D3F" w:rsidP="00FB5D3F">
      <w:pPr>
        <w:widowControl/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（十）严格工程质量管理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建立质量问题反馈机制，质量管理人员必须及时反馈混凝土浇筑胀模、跑浆、漏振，钢筋保护层超偏差，拉结筋设置不规范，砌筑结构通缝等质量问题，提出建议并采取措施解决。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建立质量分析和总结机制，对工程质量状况进行周分析、月总结，找出质量问题原因，制定针对性预防措施。</w:t>
      </w:r>
      <w:r>
        <w:rPr>
          <w:rFonts w:ascii="黑体" w:eastAsia="黑体" w:hAnsi="黑体" w:cs="黑体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图施工，全面落实“操作者自检、班组长组织互检、上下道工序交接检”制度，参检人员必须签字确认，未经检查合格禁止进入下道工序。施工资料必须与施工现场同步，重点部位、重点环节全过程留存影像资料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（十一）加强施工现场安全管理。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建立“吹哨子”机制，安全检查人员配备哨子，对人员不安全行为第一时间吹哨发出警告。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完善“安全日志”机制，专职安全员配备检查记录仪，每日必检脚手架、起重机械、深基坑及高处作业、临边防护、动火动焊，全过程留存影像资料，将检查和整改情况记入安全日志。</w:t>
      </w:r>
      <w:r>
        <w:rPr>
          <w:rFonts w:ascii="黑体" w:eastAsia="黑体" w:hAnsi="黑体" w:cs="黑体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推动“三互小组”机制，班组每3人成立1个互助小组，作业前互相检查安全用品佩戴情况，作业中互相提醒按规程操作，作业后互相指出存在问题和注意事项。</w:t>
      </w:r>
    </w:p>
    <w:p w:rsidR="00FB5D3F" w:rsidRDefault="00FB5D3F" w:rsidP="00FB5D3F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五、强化工程监理检测管理</w:t>
      </w:r>
    </w:p>
    <w:p w:rsidR="00FB5D3F" w:rsidRDefault="00FB5D3F" w:rsidP="00FB5D3F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（十二）规范项目监理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监理人员每天至少巡视施工现场2次，深基坑支护、混凝土后浇带、梁柱钢筋隐蔽工程等重要部位必须进行旁站监理，检测取样必须见证。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对预拌混凝土、装配式建筑、钢结构工程推行驻场监理、驻厂监造。</w:t>
      </w:r>
      <w:r>
        <w:rPr>
          <w:rFonts w:ascii="黑体" w:eastAsia="黑体" w:hAnsi="黑体" w:cs="黑体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对发现的质量安全问题，下达监理通知单，督促施工单位立即整改。对存在重大隐患的，立即责令停工，并向建设单位和属地主管部门报告。</w:t>
      </w:r>
    </w:p>
    <w:p w:rsidR="00FB5D3F" w:rsidRDefault="00FB5D3F" w:rsidP="00FB5D3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（十三）提高工程检测质量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黑体" w:eastAsia="黑体" w:hAnsi="黑体" w:cs="黑体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应用质量检测监管平台，实施见证取样样品二维码标识管理，建立检测报告二维码防伪系统，避免虚假报告。</w:t>
      </w:r>
      <w:r>
        <w:rPr>
          <w:rFonts w:ascii="黑体" w:eastAsia="黑体" w:hAnsi="黑体" w:cs="黑体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建立检测结果不合格项目台账，将情况及时通知建设单位和质量监督机构。</w:t>
      </w:r>
      <w:r>
        <w:rPr>
          <w:rFonts w:ascii="黑体" w:eastAsia="黑体" w:hAnsi="黑体" w:cs="黑体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非建设单位委托的检测机构出具的报告，不得作为竣工验收依据。</w:t>
      </w:r>
    </w:p>
    <w:p w:rsidR="00FB5D3F" w:rsidRDefault="00FB5D3F" w:rsidP="00FB5D3F">
      <w:pPr>
        <w:pStyle w:val="20"/>
        <w:spacing w:line="620" w:lineRule="exact"/>
        <w:ind w:leftChars="0" w:left="0" w:firstLine="0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p w:rsidR="00FB5D3F" w:rsidRDefault="00FB5D3F" w:rsidP="00FB5D3F">
      <w:pPr>
        <w:pStyle w:val="20"/>
        <w:spacing w:line="620" w:lineRule="exac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sectPr w:rsidR="00FB5D3F" w:rsidSect="00FB5D3F">
      <w:footerReference w:type="even" r:id="rId6"/>
      <w:footerReference w:type="default" r:id="rId7"/>
      <w:pgSz w:w="11906" w:h="16838"/>
      <w:pgMar w:top="1701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43" w:rsidRDefault="003F5443">
      <w:r>
        <w:separator/>
      </w:r>
    </w:p>
  </w:endnote>
  <w:endnote w:type="continuationSeparator" w:id="0">
    <w:p w:rsidR="003F5443" w:rsidRDefault="003F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  <w:embedRegular r:id="rId1" w:subsetted="1" w:fontKey="{AF9B75BD-558A-409E-B772-F5550F8E24E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DEF1DC7-CBB0-4D6E-8D2D-B7B3CE46B06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A38F725-E17E-404B-8455-F03A633386DC}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  <w:embedRegular r:id="rId4" w:subsetted="1" w:fontKey="{915B3812-8440-4849-9C08-15D2A6BDC01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B191644-3B5C-4404-A2A3-6F1B24BD373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FC1AEA1-04C4-4B46-99F2-617A264C82F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3F" w:rsidRDefault="00FB5D3F" w:rsidP="00FB5D3F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5D3F" w:rsidRDefault="00FB5D3F" w:rsidP="00FB5D3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3F" w:rsidRPr="00FB5D3F" w:rsidRDefault="00FB5D3F" w:rsidP="00FB5D3F">
    <w:pPr>
      <w:pStyle w:val="a5"/>
      <w:framePr w:wrap="around" w:vAnchor="text" w:hAnchor="margin" w:xAlign="outside" w:y="1"/>
      <w:rPr>
        <w:rStyle w:val="a9"/>
        <w:rFonts w:ascii="仿宋_GB2312" w:eastAsia="仿宋_GB2312" w:hint="eastAsia"/>
        <w:sz w:val="28"/>
        <w:szCs w:val="28"/>
      </w:rPr>
    </w:pPr>
    <w:r w:rsidRPr="00FB5D3F">
      <w:rPr>
        <w:rStyle w:val="a9"/>
        <w:rFonts w:ascii="仿宋_GB2312" w:eastAsia="仿宋_GB2312" w:hint="eastAsia"/>
        <w:sz w:val="28"/>
        <w:szCs w:val="28"/>
      </w:rPr>
      <w:fldChar w:fldCharType="begin"/>
    </w:r>
    <w:r w:rsidRPr="00FB5D3F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FB5D3F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0959C0">
      <w:rPr>
        <w:rStyle w:val="a9"/>
        <w:rFonts w:ascii="仿宋_GB2312" w:eastAsia="仿宋_GB2312"/>
        <w:noProof/>
        <w:sz w:val="28"/>
        <w:szCs w:val="28"/>
      </w:rPr>
      <w:t>- 1 -</w:t>
    </w:r>
    <w:r w:rsidRPr="00FB5D3F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FB5D3F" w:rsidRDefault="00FB5D3F" w:rsidP="00FB5D3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43" w:rsidRDefault="003F5443">
      <w:r>
        <w:separator/>
      </w:r>
    </w:p>
  </w:footnote>
  <w:footnote w:type="continuationSeparator" w:id="0">
    <w:p w:rsidR="003F5443" w:rsidRDefault="003F5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6134F7"/>
    <w:rsid w:val="00013654"/>
    <w:rsid w:val="0001557A"/>
    <w:rsid w:val="00054A6C"/>
    <w:rsid w:val="000959C0"/>
    <w:rsid w:val="000D7BD5"/>
    <w:rsid w:val="00183DDC"/>
    <w:rsid w:val="002711F5"/>
    <w:rsid w:val="002A62A9"/>
    <w:rsid w:val="0033705E"/>
    <w:rsid w:val="003F5443"/>
    <w:rsid w:val="00473113"/>
    <w:rsid w:val="00481592"/>
    <w:rsid w:val="00584E11"/>
    <w:rsid w:val="005D3D77"/>
    <w:rsid w:val="006134F7"/>
    <w:rsid w:val="00615142"/>
    <w:rsid w:val="00650945"/>
    <w:rsid w:val="00676F11"/>
    <w:rsid w:val="00805743"/>
    <w:rsid w:val="00815832"/>
    <w:rsid w:val="0082578D"/>
    <w:rsid w:val="008655E2"/>
    <w:rsid w:val="008D7266"/>
    <w:rsid w:val="008F7285"/>
    <w:rsid w:val="00937B7B"/>
    <w:rsid w:val="00965362"/>
    <w:rsid w:val="00A336F6"/>
    <w:rsid w:val="00B04751"/>
    <w:rsid w:val="00B11630"/>
    <w:rsid w:val="00BA0CEF"/>
    <w:rsid w:val="00BD2177"/>
    <w:rsid w:val="00C65438"/>
    <w:rsid w:val="00D2472E"/>
    <w:rsid w:val="00D71677"/>
    <w:rsid w:val="00D96DF0"/>
    <w:rsid w:val="00DE0648"/>
    <w:rsid w:val="00F53CA1"/>
    <w:rsid w:val="00FB5D3F"/>
    <w:rsid w:val="00FD7F78"/>
    <w:rsid w:val="012C2953"/>
    <w:rsid w:val="01AA1AC9"/>
    <w:rsid w:val="0224362A"/>
    <w:rsid w:val="030B6598"/>
    <w:rsid w:val="031713E0"/>
    <w:rsid w:val="03630182"/>
    <w:rsid w:val="041A1188"/>
    <w:rsid w:val="04405814"/>
    <w:rsid w:val="04E43544"/>
    <w:rsid w:val="05880374"/>
    <w:rsid w:val="06643B96"/>
    <w:rsid w:val="069A20DC"/>
    <w:rsid w:val="06A20FC1"/>
    <w:rsid w:val="07DB5038"/>
    <w:rsid w:val="083245C7"/>
    <w:rsid w:val="083D71F3"/>
    <w:rsid w:val="08D00067"/>
    <w:rsid w:val="08EC29C7"/>
    <w:rsid w:val="08EC2CC4"/>
    <w:rsid w:val="09B93B04"/>
    <w:rsid w:val="09DC438F"/>
    <w:rsid w:val="09F86833"/>
    <w:rsid w:val="0AAE577C"/>
    <w:rsid w:val="0AB319EF"/>
    <w:rsid w:val="0B071D3B"/>
    <w:rsid w:val="0E7C47EE"/>
    <w:rsid w:val="0E925DBF"/>
    <w:rsid w:val="0F784E23"/>
    <w:rsid w:val="102C51D5"/>
    <w:rsid w:val="10AC398F"/>
    <w:rsid w:val="111024D7"/>
    <w:rsid w:val="114E06C3"/>
    <w:rsid w:val="123C34B4"/>
    <w:rsid w:val="1304070F"/>
    <w:rsid w:val="132C7804"/>
    <w:rsid w:val="13A20852"/>
    <w:rsid w:val="13D50B70"/>
    <w:rsid w:val="140908D1"/>
    <w:rsid w:val="149325F7"/>
    <w:rsid w:val="14A31CEA"/>
    <w:rsid w:val="14A35D22"/>
    <w:rsid w:val="153C4607"/>
    <w:rsid w:val="15AC738F"/>
    <w:rsid w:val="1703785A"/>
    <w:rsid w:val="17214184"/>
    <w:rsid w:val="17D86F39"/>
    <w:rsid w:val="1820443C"/>
    <w:rsid w:val="182E6B59"/>
    <w:rsid w:val="1A9A7173"/>
    <w:rsid w:val="1BA45945"/>
    <w:rsid w:val="1C2D1C13"/>
    <w:rsid w:val="1C2D7127"/>
    <w:rsid w:val="1DE32193"/>
    <w:rsid w:val="1DFB128B"/>
    <w:rsid w:val="1E1D3A9B"/>
    <w:rsid w:val="1F166EDC"/>
    <w:rsid w:val="1FDC2C03"/>
    <w:rsid w:val="20270A5D"/>
    <w:rsid w:val="20A025BE"/>
    <w:rsid w:val="20AF54BF"/>
    <w:rsid w:val="218617B3"/>
    <w:rsid w:val="21913598"/>
    <w:rsid w:val="23DF33FD"/>
    <w:rsid w:val="23F52A31"/>
    <w:rsid w:val="25FA62CC"/>
    <w:rsid w:val="26720558"/>
    <w:rsid w:val="26FB054E"/>
    <w:rsid w:val="284740F9"/>
    <w:rsid w:val="28650375"/>
    <w:rsid w:val="28D76D98"/>
    <w:rsid w:val="29501DE5"/>
    <w:rsid w:val="2AC759C8"/>
    <w:rsid w:val="2AEE38AC"/>
    <w:rsid w:val="2B013C59"/>
    <w:rsid w:val="2B686FF1"/>
    <w:rsid w:val="2B9D1BD3"/>
    <w:rsid w:val="2BA71211"/>
    <w:rsid w:val="2C2045B2"/>
    <w:rsid w:val="2CB0703E"/>
    <w:rsid w:val="2E0777D8"/>
    <w:rsid w:val="2E8A05B2"/>
    <w:rsid w:val="2F4F3167"/>
    <w:rsid w:val="2F7F02FB"/>
    <w:rsid w:val="2FDB0F1C"/>
    <w:rsid w:val="300541EB"/>
    <w:rsid w:val="309D24F3"/>
    <w:rsid w:val="30F83A22"/>
    <w:rsid w:val="312D1B3B"/>
    <w:rsid w:val="315947EF"/>
    <w:rsid w:val="319E48F7"/>
    <w:rsid w:val="31DF595C"/>
    <w:rsid w:val="323D7C6C"/>
    <w:rsid w:val="329A1673"/>
    <w:rsid w:val="34CD478F"/>
    <w:rsid w:val="35080DB6"/>
    <w:rsid w:val="35692CBF"/>
    <w:rsid w:val="38D820B5"/>
    <w:rsid w:val="38F17A02"/>
    <w:rsid w:val="39D2513E"/>
    <w:rsid w:val="39E75B59"/>
    <w:rsid w:val="3A316FC3"/>
    <w:rsid w:val="3AEE41FA"/>
    <w:rsid w:val="3C7E15AD"/>
    <w:rsid w:val="3DA956F1"/>
    <w:rsid w:val="3DF71617"/>
    <w:rsid w:val="3E491747"/>
    <w:rsid w:val="3F9133A5"/>
    <w:rsid w:val="3FCD127A"/>
    <w:rsid w:val="40AE7F87"/>
    <w:rsid w:val="41125964"/>
    <w:rsid w:val="41601281"/>
    <w:rsid w:val="43543068"/>
    <w:rsid w:val="43664087"/>
    <w:rsid w:val="437E629D"/>
    <w:rsid w:val="43FA6896"/>
    <w:rsid w:val="466B0DF4"/>
    <w:rsid w:val="46932F3D"/>
    <w:rsid w:val="47C54D69"/>
    <w:rsid w:val="47EB1A53"/>
    <w:rsid w:val="480F1604"/>
    <w:rsid w:val="48CC36A0"/>
    <w:rsid w:val="4961203A"/>
    <w:rsid w:val="49731D6E"/>
    <w:rsid w:val="4AB50890"/>
    <w:rsid w:val="4B7274F0"/>
    <w:rsid w:val="4D7049C3"/>
    <w:rsid w:val="4F69317D"/>
    <w:rsid w:val="4F9F2BA2"/>
    <w:rsid w:val="50A2078E"/>
    <w:rsid w:val="515E3D0A"/>
    <w:rsid w:val="518C7E71"/>
    <w:rsid w:val="51DA2517"/>
    <w:rsid w:val="52320A18"/>
    <w:rsid w:val="52497018"/>
    <w:rsid w:val="525E180D"/>
    <w:rsid w:val="534053B7"/>
    <w:rsid w:val="535F648E"/>
    <w:rsid w:val="536F17F8"/>
    <w:rsid w:val="553E2FE6"/>
    <w:rsid w:val="569C6273"/>
    <w:rsid w:val="56A37164"/>
    <w:rsid w:val="56BC0D33"/>
    <w:rsid w:val="56FC4194"/>
    <w:rsid w:val="572B3C88"/>
    <w:rsid w:val="579D2377"/>
    <w:rsid w:val="57BB325E"/>
    <w:rsid w:val="590824D3"/>
    <w:rsid w:val="59136381"/>
    <w:rsid w:val="591B011D"/>
    <w:rsid w:val="595D7D56"/>
    <w:rsid w:val="59B1260E"/>
    <w:rsid w:val="59B85CA7"/>
    <w:rsid w:val="59BA1ACE"/>
    <w:rsid w:val="59F36592"/>
    <w:rsid w:val="5ABF4E13"/>
    <w:rsid w:val="5B0637CA"/>
    <w:rsid w:val="5B5E462C"/>
    <w:rsid w:val="5B6559BA"/>
    <w:rsid w:val="5D4B5084"/>
    <w:rsid w:val="5D925FF0"/>
    <w:rsid w:val="5E927339"/>
    <w:rsid w:val="5EBB2BFF"/>
    <w:rsid w:val="5F1C3CE1"/>
    <w:rsid w:val="5FF26453"/>
    <w:rsid w:val="613025C6"/>
    <w:rsid w:val="61F42D77"/>
    <w:rsid w:val="626E70F9"/>
    <w:rsid w:val="62966B4B"/>
    <w:rsid w:val="631321A0"/>
    <w:rsid w:val="63227E1B"/>
    <w:rsid w:val="641875C6"/>
    <w:rsid w:val="642A77A1"/>
    <w:rsid w:val="64B21D7E"/>
    <w:rsid w:val="652C7549"/>
    <w:rsid w:val="65BE1ACD"/>
    <w:rsid w:val="6679203B"/>
    <w:rsid w:val="67341C8A"/>
    <w:rsid w:val="67495A1F"/>
    <w:rsid w:val="67D52150"/>
    <w:rsid w:val="68B04415"/>
    <w:rsid w:val="68C006D4"/>
    <w:rsid w:val="699478F2"/>
    <w:rsid w:val="69F04FE9"/>
    <w:rsid w:val="6A026ACA"/>
    <w:rsid w:val="6AE657A1"/>
    <w:rsid w:val="6BE20961"/>
    <w:rsid w:val="6C1C771D"/>
    <w:rsid w:val="6C757A27"/>
    <w:rsid w:val="6CB322FE"/>
    <w:rsid w:val="6D9E4D5C"/>
    <w:rsid w:val="6DA2484C"/>
    <w:rsid w:val="6DDD4ABF"/>
    <w:rsid w:val="6E126376"/>
    <w:rsid w:val="6F1B4BE5"/>
    <w:rsid w:val="6F3E294B"/>
    <w:rsid w:val="6F7264A0"/>
    <w:rsid w:val="6FCC46B7"/>
    <w:rsid w:val="70411030"/>
    <w:rsid w:val="707A1AB0"/>
    <w:rsid w:val="70831C5F"/>
    <w:rsid w:val="709661BE"/>
    <w:rsid w:val="70E4517B"/>
    <w:rsid w:val="743F17D7"/>
    <w:rsid w:val="77364257"/>
    <w:rsid w:val="77C16217"/>
    <w:rsid w:val="7A9D6AC7"/>
    <w:rsid w:val="7B4E2AED"/>
    <w:rsid w:val="7E5E5C24"/>
    <w:rsid w:val="7EDC321D"/>
    <w:rsid w:val="7F74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qFormat/>
    <w:pPr>
      <w:ind w:leftChars="200" w:left="420"/>
    </w:pPr>
    <w:rPr>
      <w:rFonts w:ascii="Times New Roman" w:hAnsi="Times New Roman"/>
    </w:rPr>
  </w:style>
  <w:style w:type="paragraph" w:styleId="2">
    <w:name w:val="Body Text Indent 2"/>
    <w:basedOn w:val="a"/>
    <w:qFormat/>
    <w:pPr>
      <w:autoSpaceDE w:val="0"/>
      <w:autoSpaceDN w:val="0"/>
      <w:spacing w:after="120" w:line="480" w:lineRule="auto"/>
      <w:ind w:leftChars="200" w:left="42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3"/>
    <w:uiPriority w:val="99"/>
    <w:unhideWhenUsed/>
    <w:qFormat/>
    <w:pPr>
      <w:tabs>
        <w:tab w:val="left" w:pos="360"/>
      </w:tabs>
      <w:ind w:firstLine="420"/>
    </w:pPr>
    <w:rPr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qFormat/>
  </w:style>
  <w:style w:type="paragraph" w:styleId="aa">
    <w:name w:val="Date"/>
    <w:basedOn w:val="a"/>
    <w:next w:val="a"/>
    <w:rsid w:val="00FB5D3F"/>
    <w:pPr>
      <w:ind w:leftChars="2500" w:left="100"/>
    </w:pPr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Links>
    <vt:vector size="6" baseType="variant"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http://www.hngcjs.net/uploadfj/up20141127105719.docx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69133</dc:creator>
  <cp:lastModifiedBy>Administrator</cp:lastModifiedBy>
  <cp:revision>2</cp:revision>
  <cp:lastPrinted>2025-06-23T03:22:00Z</cp:lastPrinted>
  <dcterms:created xsi:type="dcterms:W3CDTF">2025-06-25T00:39:00Z</dcterms:created>
  <dcterms:modified xsi:type="dcterms:W3CDTF">2025-06-25T00:39:00Z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F1F9AA100E924F6A8093731F8950A13C_13</vt:lpwstr>
  </property>
  <property fmtid="{D5CDD505-2E9C-101B-9397-08002B2CF9AE}" pid="4" name="KSOTemplateDocerSaveRecord">
    <vt:lpwstr>eyJoZGlkIjoiMzEwNTM5NzYwMDRjMzkwZTVkZjY2ODkwMGIxNGU0OTUiLCJ1c2VySWQiOiI3MzcxMjcyNTQifQ==</vt:lpwstr>
  </property>
</Properties>
</file>