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sz w:val="32"/>
          <w:szCs w:val="32"/>
        </w:rPr>
      </w:pPr>
    </w:p>
    <w:p>
      <w:pPr>
        <w:spacing w:line="500" w:lineRule="exact"/>
        <w:rPr>
          <w:rFonts w:hint="default" w:ascii="Times New Roman" w:hAnsi="Times New Roman" w:cs="Times New Roman"/>
          <w:sz w:val="32"/>
          <w:szCs w:val="32"/>
        </w:rPr>
      </w:pPr>
    </w:p>
    <w:p>
      <w:pPr>
        <w:spacing w:line="500" w:lineRule="exact"/>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jc w:val="center"/>
        <w:rPr>
          <w:rFonts w:hint="default" w:ascii="Times New Roman" w:hAnsi="Times New Roman" w:eastAsia="方正小标宋简体" w:cs="Times New Roman"/>
          <w:color w:val="FF0000"/>
          <w:sz w:val="52"/>
          <w:szCs w:val="52"/>
        </w:rPr>
      </w:pPr>
    </w:p>
    <w:p>
      <w:pPr>
        <w:jc w:val="center"/>
        <w:rPr>
          <w:rFonts w:hint="default" w:ascii="Times New Roman" w:hAnsi="Times New Roman" w:eastAsia="方正小标宋简体" w:cs="Times New Roman"/>
          <w:color w:val="FF0000"/>
          <w:sz w:val="44"/>
          <w:szCs w:val="44"/>
        </w:rPr>
      </w:pPr>
    </w:p>
    <w:p>
      <w:pPr>
        <w:pStyle w:val="14"/>
        <w:keepNext w:val="0"/>
        <w:keepLines w:val="0"/>
        <w:pageBreakBefore w:val="0"/>
        <w:kinsoku/>
        <w:wordWrap/>
        <w:overflowPunct/>
        <w:topLinePunct w:val="0"/>
        <w:autoSpaceDE/>
        <w:autoSpaceDN/>
        <w:bidi w:val="0"/>
        <w:snapToGrid w:val="0"/>
        <w:spacing w:beforeAutospacing="0" w:afterAutospacing="0" w:line="580" w:lineRule="exact"/>
        <w:jc w:val="both"/>
        <w:textAlignment w:val="auto"/>
        <w:rPr>
          <w:rFonts w:hint="default" w:ascii="Times New Roman" w:hAnsi="Times New Roman" w:eastAsia="黑体" w:cs="Times New Roman"/>
          <w:b w:val="0"/>
          <w:bCs w:val="0"/>
          <w:spacing w:val="20"/>
          <w:sz w:val="32"/>
          <w:szCs w:val="32"/>
          <w:lang w:val="en-US" w:eastAsia="zh-CN"/>
        </w:rPr>
      </w:pPr>
      <w:r>
        <w:rPr>
          <w:rFonts w:hint="default" w:ascii="Times New Roman" w:hAnsi="Times New Roman" w:eastAsia="黑体" w:cs="Times New Roman"/>
          <w:b w:val="0"/>
          <w:bCs w:val="0"/>
          <w:spacing w:val="20"/>
          <w:sz w:val="32"/>
          <w:szCs w:val="32"/>
          <w:lang w:val="en-US" w:eastAsia="zh-CN"/>
        </w:rPr>
        <w:t>附件</w:t>
      </w:r>
    </w:p>
    <w:p>
      <w:pPr>
        <w:rPr>
          <w:rFonts w:hint="default" w:ascii="Times New Roman" w:hAnsi="Times New Roman" w:cs="Times New Roman"/>
          <w:lang w:val="en-US" w:eastAsia="zh-CN"/>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全市建设行业安全生产</w:t>
      </w:r>
      <w:bookmarkStart w:id="0" w:name="_GoBack"/>
      <w:bookmarkEnd w:id="0"/>
      <w:r>
        <w:rPr>
          <w:rFonts w:hint="default" w:ascii="Times New Roman" w:hAnsi="Times New Roman" w:eastAsia="方正小标宋简体" w:cs="Times New Roman"/>
          <w:sz w:val="44"/>
          <w:szCs w:val="44"/>
        </w:rPr>
        <w:t>“大走访</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大排查大治理百日攻坚”行动工作方案</w:t>
      </w:r>
    </w:p>
    <w:p>
      <w:pPr>
        <w:spacing w:line="600" w:lineRule="exact"/>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认真落实住房和城乡建设部、省委省政府重大决策部署，深入贯彻省住建厅、市安委会相关要求，确保春节和“两会”期间全市建设行业安全生产形势稳定，有效防范化解安全风险，从即日起到4月20日，在全市范围内集中开展建设行业安全生产“大走访大排查大治理百日攻坚”行动，特制定此方案。</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eastAsia" w:ascii="黑体" w:hAnsi="黑体" w:eastAsia="黑体" w:cs="黑体"/>
          <w:sz w:val="32"/>
          <w:szCs w:val="32"/>
        </w:rPr>
      </w:pPr>
      <w:r>
        <w:rPr>
          <w:rFonts w:hint="eastAsia" w:ascii="黑体" w:hAnsi="黑体" w:eastAsia="黑体" w:cs="黑体"/>
          <w:sz w:val="32"/>
          <w:szCs w:val="32"/>
        </w:rPr>
        <w:t>一、总体目标</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贯彻习近平总书记关于安全生产重要讲话重要指示精神，按照省住建厅、市安委会安排部署，全面落实“五化”抓安全生产和“案例化实战化”要求，坚持“安全隐患在哪里、人员聚集在哪里，走访排查治理就要跟到哪里”的原则，紧密结合城市建设安全生产专项整治三年行动和 “落责任、查隐患、除风险、促发展”专项行动，深刻剖析事故案例，举一反三，开展全方位无死角深层次大走访大排查大治理，切实提高安全防范工作的主动性、针对性和实效性，全面提升本质安全水平，坚决守住不发生重特大生产安全事故底线，确保重要敏感时段和节日期间全市安全生产形势持续稳定。</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eastAsia" w:ascii="黑体" w:hAnsi="黑体" w:eastAsia="黑体" w:cs="黑体"/>
          <w:sz w:val="32"/>
          <w:szCs w:val="32"/>
        </w:rPr>
      </w:pPr>
      <w:r>
        <w:rPr>
          <w:rFonts w:hint="eastAsia" w:ascii="黑体" w:hAnsi="黑体" w:eastAsia="黑体" w:cs="黑体"/>
          <w:sz w:val="32"/>
          <w:szCs w:val="32"/>
        </w:rPr>
        <w:t>二、重点任务</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（一）深入开展安全生产“大走访”行动。</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部门要结合春节走访慰问，深入辖区重点领域、重点企业、重点项目、重点部位和薄弱环节等，带头开展安全生产大走访行动。走访前要制定走访清单；走访中要结合走访对象特点，开展安全生产检查调研和提示宣传；走访后跟踪问效，确保全覆盖。重点做好四项工作：</w:t>
      </w:r>
      <w:r>
        <w:rPr>
          <w:rFonts w:hint="default" w:ascii="Times New Roman" w:hAnsi="Times New Roman" w:eastAsia="仿宋_GB2312" w:cs="Times New Roman"/>
          <w:b/>
          <w:bCs/>
          <w:sz w:val="32"/>
          <w:szCs w:val="32"/>
        </w:rPr>
        <w:t>一是督责任。</w:t>
      </w:r>
      <w:r>
        <w:rPr>
          <w:rFonts w:hint="default" w:ascii="Times New Roman" w:hAnsi="Times New Roman" w:eastAsia="仿宋_GB2312" w:cs="Times New Roman"/>
          <w:sz w:val="32"/>
          <w:szCs w:val="32"/>
        </w:rPr>
        <w:t>与重点企业主要负责人、安全负责人等进行专题谈话，讲形势、讲教训、讲案例、讲要求；发放安全风险“提示函”，明确重点任务，细化具体措施；检查企业春节期间安全生产工作方案制定、领导值班值守制度落实、突发情况应急处置前期准备等情况，督促企业落实全员安全生产责任制。</w:t>
      </w:r>
      <w:r>
        <w:rPr>
          <w:rFonts w:hint="default" w:ascii="Times New Roman" w:hAnsi="Times New Roman" w:eastAsia="仿宋_GB2312" w:cs="Times New Roman"/>
          <w:b/>
          <w:bCs/>
          <w:sz w:val="32"/>
          <w:szCs w:val="32"/>
        </w:rPr>
        <w:t>二是送法规。</w:t>
      </w:r>
      <w:r>
        <w:rPr>
          <w:rFonts w:hint="default" w:ascii="Times New Roman" w:hAnsi="Times New Roman" w:eastAsia="仿宋_GB2312" w:cs="Times New Roman"/>
          <w:sz w:val="32"/>
          <w:szCs w:val="32"/>
        </w:rPr>
        <w:t>按照贴近实际、贴近企业、贴近群众要求，采取以案说法、送安全法规知识上门等方式，深入宣传新《安全生产法》《消防法》《建设工程安全生产管理条例》和《刑法修正案（十一）》等相关内容，教育引导企业职工和群众自觉守法、依法作业、按规操作，提升安全防范能力。</w:t>
      </w:r>
      <w:r>
        <w:rPr>
          <w:rFonts w:hint="default" w:ascii="Times New Roman" w:hAnsi="Times New Roman" w:eastAsia="仿宋_GB2312" w:cs="Times New Roman"/>
          <w:b/>
          <w:bCs/>
          <w:sz w:val="32"/>
          <w:szCs w:val="32"/>
        </w:rPr>
        <w:t>三是查隐患。</w:t>
      </w:r>
      <w:r>
        <w:rPr>
          <w:rFonts w:hint="default" w:ascii="Times New Roman" w:hAnsi="Times New Roman" w:eastAsia="仿宋_GB2312" w:cs="Times New Roman"/>
          <w:sz w:val="32"/>
          <w:szCs w:val="32"/>
        </w:rPr>
        <w:t>采取“干部＋专家”模式，组织专家、经验丰富老同志会同走访干部，开展抽查巡查，针对薄弱环节和重点风险，切实把问题兜上来、把隐患找出来，并制定重点风险隐患清单。</w:t>
      </w:r>
      <w:r>
        <w:rPr>
          <w:rFonts w:hint="default" w:ascii="Times New Roman" w:hAnsi="Times New Roman" w:eastAsia="仿宋_GB2312" w:cs="Times New Roman"/>
          <w:b/>
          <w:bCs/>
          <w:sz w:val="32"/>
          <w:szCs w:val="32"/>
        </w:rPr>
        <w:t>四是解难题。</w:t>
      </w:r>
      <w:r>
        <w:rPr>
          <w:rFonts w:hint="default" w:ascii="Times New Roman" w:hAnsi="Times New Roman" w:eastAsia="仿宋_GB2312" w:cs="Times New Roman"/>
          <w:sz w:val="32"/>
          <w:szCs w:val="32"/>
        </w:rPr>
        <w:t>落实包保责任制，倾听企业、职工和群众对安全生产工作的诉求，帮助企业解决安全生产有关困难，切实为企业安全发展排忧解难。</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default" w:ascii="Times New Roman" w:hAnsi="Times New Roman" w:eastAsia="仿宋_GB2312" w:cs="Times New Roman"/>
          <w:bCs/>
          <w:sz w:val="32"/>
          <w:szCs w:val="32"/>
        </w:rPr>
      </w:pPr>
      <w:r>
        <w:rPr>
          <w:rFonts w:hint="eastAsia" w:ascii="楷体_GB2312" w:hAnsi="楷体_GB2312" w:eastAsia="楷体_GB2312" w:cs="楷体_GB2312"/>
          <w:bCs/>
          <w:sz w:val="32"/>
          <w:szCs w:val="32"/>
        </w:rPr>
        <w:t>（二）深入开展安全生产“大排查”行动。</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高度警惕春节人员集中出行聚集性风险、个别企业春节连续加班生产超负荷风险、冬季极端天气多发频发风险、建筑施工、燃气、供水、供热等季节性风险，重点开展6个领域专项行动。</w:t>
      </w:r>
    </w:p>
    <w:p>
      <w:pPr>
        <w:keepNext w:val="0"/>
        <w:keepLines w:val="0"/>
        <w:pageBreakBefore w:val="0"/>
        <w:kinsoku/>
        <w:wordWrap/>
        <w:overflowPunct/>
        <w:topLinePunct w:val="0"/>
        <w:autoSpaceDE/>
        <w:autoSpaceDN/>
        <w:bidi w:val="0"/>
        <w:adjustRightInd/>
        <w:snapToGrid/>
        <w:spacing w:line="578" w:lineRule="exact"/>
        <w:ind w:firstLine="63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1.开展建筑施工隐患排查专项行动。</w:t>
      </w:r>
      <w:r>
        <w:rPr>
          <w:rFonts w:hint="default" w:ascii="Times New Roman" w:hAnsi="Times New Roman" w:eastAsia="仿宋_GB2312" w:cs="Times New Roman"/>
          <w:sz w:val="32"/>
          <w:szCs w:val="32"/>
        </w:rPr>
        <w:t>继续深入落实涵盖31个模板的《建筑施工安全治理模板集》，严格落实包保责任制。严格土方挖掘、户内装修和供水、供暖、供气改造维修作业现场安全管理。强化建筑工地临时用房安全管理，排查整治火、电隐患。严防坠落、坍塌、有限空间作业中毒窒息等事故发生。参照《吉林省建筑工程新冠疫情防控指南》（吉建办〔2020〕37号）要求，做好疫情防控监督工作。对冬季施工项目，按照“谁用工、谁管理、谁负责”的要求，参建各方切实履行疫情防控主体责任，建立项目联防联控防疫机构，配备防疫人员和物资；对开工复工的项目，住建主管部门与相关部门共同确认防疫防护工作措施到位、符合防疫防护要求的方可开复工。（责任部门：建管科、各区住房和城乡建设局）</w:t>
      </w:r>
    </w:p>
    <w:p>
      <w:pPr>
        <w:keepNext w:val="0"/>
        <w:keepLines w:val="0"/>
        <w:pageBreakBefore w:val="0"/>
        <w:kinsoku/>
        <w:wordWrap/>
        <w:overflowPunct/>
        <w:topLinePunct w:val="0"/>
        <w:autoSpaceDE/>
        <w:autoSpaceDN/>
        <w:bidi w:val="0"/>
        <w:adjustRightInd/>
        <w:snapToGrid/>
        <w:spacing w:line="578" w:lineRule="exact"/>
        <w:ind w:firstLine="63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2.开展城镇燃气风险隐患排查专项行动。</w:t>
      </w:r>
      <w:r>
        <w:rPr>
          <w:rFonts w:hint="default" w:ascii="Times New Roman" w:hAnsi="Times New Roman" w:eastAsia="仿宋_GB2312" w:cs="Times New Roman"/>
          <w:sz w:val="32"/>
          <w:szCs w:val="32"/>
        </w:rPr>
        <w:t>紧盯商住混合体、餐饮场所、老旧小区、农贸市场等重点场所，持续开展风险隐患排查整治，加强可燃气体报警装置安装推广。强化燃气管线日常安全巡护，加快推进老化燃气管网设施更新改造。开展燃气企业经营管理安全风险整治，查处违法经营、违规从业等问题。全面排查燃气用户端安全隐患，持续推进用户“阀、管、灶”改造。广泛宣传燃气安全使用和逃生自救常识，严防燃气泄漏爆燃等事故和用户一氧化碳中毒等问题。（责任部门：供热燃气办）</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3.开展供水巡查和隐患消除专项行动。</w:t>
      </w:r>
      <w:r>
        <w:rPr>
          <w:rFonts w:hint="default" w:ascii="Times New Roman" w:hAnsi="Times New Roman" w:eastAsia="仿宋_GB2312" w:cs="Times New Roman"/>
          <w:sz w:val="32"/>
          <w:szCs w:val="32"/>
        </w:rPr>
        <w:t>加大对城市供水管网和设施的巡查检修，及时消除事故隐患，确保运行安全。密切关注水源地取水设施运行情况，管网保温保暖情况，提高稳定运行能力，防止水管爆裂出现大面积停水事件。（责任单位：城建科、自来水公司）</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rPr>
        <w:t>4.开展城市管理隐患治理专项行动。</w:t>
      </w:r>
      <w:r>
        <w:rPr>
          <w:rFonts w:hint="default" w:ascii="Times New Roman" w:hAnsi="Times New Roman" w:eastAsia="仿宋_GB2312" w:cs="Times New Roman"/>
          <w:sz w:val="32"/>
          <w:szCs w:val="32"/>
          <w:shd w:val="clear" w:color="auto" w:fill="FFFFFF"/>
        </w:rPr>
        <w:t>检查路面、管井、路灯等一些市政基础设施的安全状况，及时将安全隐患信息交给相关部门进行处理，组织有关单位对废弃的缆线、立杆进行清理。（责任单位：城建科、运维公司）</w:t>
      </w:r>
    </w:p>
    <w:p>
      <w:pPr>
        <w:keepNext w:val="0"/>
        <w:keepLines w:val="0"/>
        <w:pageBreakBefore w:val="0"/>
        <w:kinsoku/>
        <w:wordWrap/>
        <w:overflowPunct/>
        <w:topLinePunct w:val="0"/>
        <w:autoSpaceDE/>
        <w:autoSpaceDN/>
        <w:bidi w:val="0"/>
        <w:adjustRightInd/>
        <w:snapToGrid/>
        <w:spacing w:line="578" w:lineRule="exact"/>
        <w:ind w:firstLine="634"/>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b/>
          <w:bCs/>
          <w:sz w:val="32"/>
          <w:szCs w:val="32"/>
        </w:rPr>
        <w:t>5.开展供热企业重点目标巡检专项行动</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shd w:val="clear" w:color="auto" w:fill="FFFFFF"/>
        </w:rPr>
        <w:t>加强对供热企业用电设备、锅炉、管网、换热站等重要设施设备的巡查检修工作。落实全员安全生产责任制，加强职工安全教育，按照要求落实操作规程，防范煤堆塌方、气体中毒、设备伤害等事故发生。提升应急反应能力，落实24小时值班制度，做好应急抢险准备。（责任单位：城建科、供热燃气办）</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6.开展房屋隐患排查专项行动。</w:t>
      </w:r>
      <w:r>
        <w:rPr>
          <w:rFonts w:hint="default" w:ascii="Times New Roman" w:hAnsi="Times New Roman" w:eastAsia="仿宋_GB2312" w:cs="Times New Roman"/>
          <w:sz w:val="32"/>
          <w:szCs w:val="32"/>
        </w:rPr>
        <w:t>协同有关部门</w:t>
      </w:r>
      <w:r>
        <w:rPr>
          <w:rFonts w:hint="default" w:ascii="Times New Roman" w:hAnsi="Times New Roman" w:eastAsia="仿宋_GB2312" w:cs="Times New Roman"/>
          <w:bCs/>
          <w:spacing w:val="-11"/>
          <w:sz w:val="32"/>
          <w:szCs w:val="32"/>
        </w:rPr>
        <w:t>聚焦农村、城镇、城乡结合部自建、改建、扩建的老旧危房等建筑，加大排查隐患整治，</w:t>
      </w:r>
      <w:r>
        <w:rPr>
          <w:rFonts w:hint="default" w:ascii="Times New Roman" w:hAnsi="Times New Roman" w:eastAsia="仿宋_GB2312" w:cs="Times New Roman"/>
          <w:sz w:val="32"/>
          <w:szCs w:val="32"/>
        </w:rPr>
        <w:t>对地基不稳、结构受损的危险房屋，尤其进入冬季，冰雪覆盖，危房承重增加，更增风险，要采取设立警示牌、警戒线、封存等安全措施，坚决停止使用；对已腾空未拆除的房屋要</w:t>
      </w:r>
      <w:r>
        <w:rPr>
          <w:rFonts w:hint="default" w:ascii="Times New Roman" w:hAnsi="Times New Roman" w:eastAsia="仿宋_GB2312" w:cs="Times New Roman"/>
          <w:kern w:val="0"/>
          <w:sz w:val="32"/>
          <w:szCs w:val="32"/>
        </w:rPr>
        <w:t>设置警示标识，</w:t>
      </w:r>
      <w:r>
        <w:rPr>
          <w:rFonts w:hint="default" w:ascii="Times New Roman" w:hAnsi="Times New Roman" w:eastAsia="仿宋_GB2312" w:cs="Times New Roman"/>
          <w:sz w:val="32"/>
          <w:szCs w:val="32"/>
        </w:rPr>
        <w:t>指派专人定期巡查、死看死守，严防拾荒者私自入住引发次生灾害；加强农村跨度较大、用作经营、人员密集、擅自改扩建和存在安全隐患等重点房屋巡查整治力度，防止安全事故发生。（责任单位：房产科、建管科、村镇科、各区住房和城乡建设局）</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（三）深入开展安全生产“大治理”行动。</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一要强化风险研判。</w:t>
      </w:r>
      <w:r>
        <w:rPr>
          <w:rFonts w:hint="eastAsia" w:ascii="仿宋_GB2312" w:hAnsi="仿宋_GB2312" w:eastAsia="仿宋_GB2312" w:cs="仿宋_GB2312"/>
          <w:sz w:val="32"/>
          <w:szCs w:val="32"/>
        </w:rPr>
        <w:t>要健全</w:t>
      </w:r>
      <w:r>
        <w:rPr>
          <w:rFonts w:hint="default" w:ascii="Times New Roman" w:hAnsi="Times New Roman" w:eastAsia="仿宋_GB2312" w:cs="Times New Roman"/>
          <w:sz w:val="32"/>
          <w:szCs w:val="32"/>
        </w:rPr>
        <w:t>安全风险会商研判机制，结合走访和排查结果，集中组织一次专项风险研判，精准分析、深入查找春节、两会期间面临的重大风险隐患，及早采取有效措施防范应对。要强化滚动研判、动态分析，必要时实行日研判、日部署。</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二要强化隐患清零。</w:t>
      </w:r>
      <w:r>
        <w:rPr>
          <w:rFonts w:hint="eastAsia" w:ascii="仿宋_GB2312" w:hAnsi="仿宋_GB2312" w:eastAsia="仿宋_GB2312" w:cs="仿宋_GB2312"/>
          <w:sz w:val="32"/>
          <w:szCs w:val="32"/>
        </w:rPr>
        <w:t>按照“查到</w:t>
      </w:r>
      <w:r>
        <w:rPr>
          <w:rFonts w:hint="default" w:ascii="Times New Roman" w:hAnsi="Times New Roman" w:eastAsia="仿宋_GB2312" w:cs="Times New Roman"/>
          <w:sz w:val="32"/>
          <w:szCs w:val="32"/>
        </w:rPr>
        <w:t>问题、分析原因、透视危害、形成建议”四步工作法，建立“问题、任务、措施、责任、时限”五清单，逐个行业、逐个企业、逐个隐患进行治理，建立隐患台账和整改清单，逐项明确整改措施、整改时限、整改目标，落实全过程闭环管理。</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b/>
          <w:bCs/>
          <w:sz w:val="32"/>
          <w:szCs w:val="32"/>
        </w:rPr>
      </w:pPr>
      <w:r>
        <w:rPr>
          <w:rFonts w:hint="eastAsia" w:ascii="仿宋_GB2312" w:hAnsi="仿宋_GB2312" w:eastAsia="仿宋_GB2312" w:cs="仿宋_GB2312"/>
          <w:b/>
          <w:bCs/>
          <w:sz w:val="32"/>
          <w:szCs w:val="32"/>
        </w:rPr>
        <w:t>三要强化源头治理。</w:t>
      </w:r>
      <w:r>
        <w:rPr>
          <w:rFonts w:hint="eastAsia" w:ascii="仿宋_GB2312" w:hAnsi="仿宋_GB2312" w:eastAsia="仿宋_GB2312" w:cs="仿宋_GB2312"/>
          <w:sz w:val="32"/>
          <w:szCs w:val="32"/>
        </w:rPr>
        <w:t>要从根本上</w:t>
      </w:r>
      <w:r>
        <w:rPr>
          <w:rFonts w:hint="default" w:ascii="Times New Roman" w:hAnsi="Times New Roman" w:eastAsia="仿宋_GB2312" w:cs="Times New Roman"/>
          <w:sz w:val="32"/>
          <w:szCs w:val="32"/>
        </w:rPr>
        <w:t>消除事故隐患、从根上解决问题，紧紧盯住难点问题和关键症结，拿出硬办法、使出硬举措，着力在破解基础性、源头性、制度性等突出问题上取得一批成果，坚决做到不达目的决不放松，不整治到位决不收兵。</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四要强化执法检查。</w:t>
      </w:r>
      <w:r>
        <w:rPr>
          <w:rFonts w:hint="eastAsia" w:ascii="仿宋_GB2312" w:hAnsi="仿宋_GB2312" w:eastAsia="仿宋_GB2312" w:cs="仿宋_GB2312"/>
          <w:sz w:val="32"/>
          <w:szCs w:val="32"/>
        </w:rPr>
        <w:t>要“利剑出鞘”，</w:t>
      </w:r>
      <w:r>
        <w:rPr>
          <w:rFonts w:hint="default" w:ascii="Times New Roman" w:hAnsi="Times New Roman" w:eastAsia="仿宋_GB2312" w:cs="Times New Roman"/>
          <w:sz w:val="32"/>
          <w:szCs w:val="32"/>
        </w:rPr>
        <w:t>采取“四不两直”方式，紧盯事故易发多发、投诉举报集中等重点领域和企业，深入开展安全生产执法检查。要依法治乱，对“屡教不改”“屡罚屡犯”的严惩重罚，曝光典型违法案例。</w:t>
      </w:r>
    </w:p>
    <w:p>
      <w:pPr>
        <w:keepNext w:val="0"/>
        <w:keepLines w:val="0"/>
        <w:pageBreakBefore w:val="0"/>
        <w:kinsoku/>
        <w:wordWrap/>
        <w:overflowPunct/>
        <w:topLinePunct w:val="0"/>
        <w:autoSpaceDE/>
        <w:autoSpaceDN/>
        <w:bidi w:val="0"/>
        <w:adjustRightInd/>
        <w:snapToGrid/>
        <w:spacing w:line="578" w:lineRule="exact"/>
        <w:ind w:firstLine="632" w:firstLineChars="200"/>
        <w:textAlignment w:val="auto"/>
        <w:rPr>
          <w:rFonts w:hint="default" w:ascii="Times New Roman" w:hAnsi="Times New Roman" w:eastAsia="仿宋_GB2312" w:cs="Times New Roman"/>
          <w:b/>
          <w:bCs/>
          <w:sz w:val="32"/>
          <w:szCs w:val="32"/>
        </w:rPr>
      </w:pPr>
      <w:r>
        <w:rPr>
          <w:rFonts w:hint="eastAsia" w:ascii="仿宋_GB2312" w:hAnsi="仿宋_GB2312" w:eastAsia="仿宋_GB2312" w:cs="仿宋_GB2312"/>
          <w:b/>
          <w:bCs/>
          <w:sz w:val="32"/>
          <w:szCs w:val="32"/>
        </w:rPr>
        <w:t>五要强化宣传教育。</w:t>
      </w:r>
      <w:r>
        <w:rPr>
          <w:rFonts w:hint="eastAsia" w:ascii="仿宋_GB2312" w:hAnsi="仿宋_GB2312" w:eastAsia="仿宋_GB2312" w:cs="仿宋_GB2312"/>
          <w:sz w:val="32"/>
          <w:szCs w:val="32"/>
        </w:rPr>
        <w:t>开展</w:t>
      </w:r>
      <w:r>
        <w:rPr>
          <w:rFonts w:hint="default" w:ascii="Times New Roman" w:hAnsi="Times New Roman" w:eastAsia="仿宋_GB2312" w:cs="Times New Roman"/>
          <w:sz w:val="32"/>
          <w:szCs w:val="32"/>
        </w:rPr>
        <w:t>安全生产“五进”宣传活动，既要通过抖音、快手、微博等信息化媒体，又要利用标语、大喇叭等传统老办法，普及安全生产知识和常识，营造浓厚舆论氛围，提高广大群众安全意识和防灾、减灾、避险能力。</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eastAsia" w:ascii="黑体" w:hAnsi="黑体" w:eastAsia="黑体" w:cs="黑体"/>
          <w:sz w:val="32"/>
          <w:szCs w:val="32"/>
        </w:rPr>
      </w:pPr>
      <w:r>
        <w:rPr>
          <w:rFonts w:hint="eastAsia" w:ascii="黑体" w:hAnsi="黑体" w:eastAsia="黑体" w:cs="黑体"/>
          <w:sz w:val="32"/>
          <w:szCs w:val="32"/>
        </w:rPr>
        <w:t>三、方法步骤</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（一）动员部署阶段（1月30日前）。</w:t>
      </w:r>
      <w:r>
        <w:rPr>
          <w:rFonts w:hint="default" w:ascii="Times New Roman" w:hAnsi="Times New Roman" w:eastAsia="仿宋_GB2312" w:cs="Times New Roman"/>
          <w:sz w:val="32"/>
          <w:szCs w:val="32"/>
        </w:rPr>
        <w:t>各相关部门要结合实际制定具体工作实施方案，明确任务，落实责任，细化措施。要逐级开展宣传发动，将大走访大排查大治理具体部署传达到底。</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（二）排查治理阶段（1月31日至4月15日）。</w:t>
      </w:r>
      <w:r>
        <w:rPr>
          <w:rFonts w:hint="default" w:ascii="Times New Roman" w:hAnsi="Times New Roman" w:eastAsia="仿宋_GB2312" w:cs="Times New Roman"/>
          <w:sz w:val="32"/>
          <w:szCs w:val="32"/>
        </w:rPr>
        <w:t>各相关部门要集中力量，下沉基层一线，深入开展大走访大排查大治理，确保企业走访到位、隐患排查到位、问题整治到位。</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（三）总结评估阶段（4月16日至4月20日）。</w:t>
      </w:r>
      <w:r>
        <w:rPr>
          <w:rFonts w:hint="default" w:ascii="Times New Roman" w:hAnsi="Times New Roman" w:eastAsia="仿宋_GB2312" w:cs="Times New Roman"/>
          <w:sz w:val="32"/>
          <w:szCs w:val="32"/>
        </w:rPr>
        <w:t>各相关部门要逐级检查大走访大排查大治理行动开展情况，市局将梳理通报典型经验做法和存在的问题，督导建立长效机制。在此期间，市局将采取抽查暗访等形式对各地开展情况进行督导检查。</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（一）提高政治站位。</w:t>
      </w:r>
      <w:r>
        <w:rPr>
          <w:rFonts w:hint="default" w:ascii="Times New Roman" w:hAnsi="Times New Roman" w:eastAsia="仿宋_GB2312" w:cs="Times New Roman"/>
          <w:sz w:val="32"/>
          <w:szCs w:val="32"/>
        </w:rPr>
        <w:t>各相关部门要深入贯彻落实习近平总书记关于安全生产重要讲话重要指示精神，充分认清当前安全生产形势的严峻性、复杂性，切实增强开展安全生产“大走访大排查大治理百日攻坚”行动的责任感和使命感，打好主动战、攻坚战。</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（二）强化责任落实。</w:t>
      </w:r>
      <w:r>
        <w:rPr>
          <w:rFonts w:hint="default" w:ascii="Times New Roman" w:hAnsi="Times New Roman" w:eastAsia="仿宋_GB2312" w:cs="Times New Roman"/>
          <w:sz w:val="32"/>
          <w:szCs w:val="32"/>
        </w:rPr>
        <w:t>各相关部门要按照“三管三必须”和“党政同责、一岗双责”的原则，落实行业部门的监管责任，督促企业落实主体责任，把百日攻坚行动各项任务抓实抓好抓到位。</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（三）突出应急准备。</w:t>
      </w:r>
      <w:r>
        <w:rPr>
          <w:rFonts w:hint="default" w:ascii="Times New Roman" w:hAnsi="Times New Roman" w:eastAsia="仿宋_GB2312" w:cs="Times New Roman"/>
          <w:sz w:val="32"/>
          <w:szCs w:val="32"/>
        </w:rPr>
        <w:t>各相关部门要严格执行24小时专人值班和领导干部在岗带班、外出报备制度。有关重点部门精干人员要做好应急值守，建筑施工、燃气抢修、安全生产救援等队伍要随时待战，遇有突发事件立即响应、有效处置。</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（四）严肃追责问责。</w:t>
      </w:r>
      <w:r>
        <w:rPr>
          <w:rFonts w:hint="default" w:ascii="Times New Roman" w:hAnsi="Times New Roman" w:eastAsia="仿宋_GB2312" w:cs="Times New Roman"/>
          <w:sz w:val="32"/>
          <w:szCs w:val="32"/>
        </w:rPr>
        <w:t>各相关部门要加强督导检查，对责任不落实、整治推动不力等问题，依法依纪依规严肃追责问责。省厅将视情开展明查暗访、督查检查等方式，督促各地扎实开展专项行动。</w:t>
      </w:r>
    </w:p>
    <w:p>
      <w:pPr>
        <w:keepNext w:val="0"/>
        <w:keepLines w:val="0"/>
        <w:pageBreakBefore w:val="0"/>
        <w:kinsoku/>
        <w:wordWrap/>
        <w:overflowPunct/>
        <w:topLinePunct w:val="0"/>
        <w:autoSpaceDE/>
        <w:autoSpaceDN/>
        <w:bidi w:val="0"/>
        <w:adjustRightInd/>
        <w:snapToGrid/>
        <w:spacing w:line="578" w:lineRule="exact"/>
        <w:ind w:firstLine="63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各相关部门</w:t>
      </w:r>
      <w:r>
        <w:rPr>
          <w:rFonts w:hint="default" w:ascii="Times New Roman" w:hAnsi="Times New Roman" w:eastAsia="仿宋_GB2312" w:cs="Times New Roman"/>
          <w:color w:val="000000"/>
          <w:sz w:val="32"/>
          <w:szCs w:val="32"/>
        </w:rPr>
        <w:t>自2月起，每月22日前汇总行业领域情况报送专项行动开展情况，4月18日前报专项行动总结。</w:t>
      </w:r>
      <w:r>
        <w:rPr>
          <w:rFonts w:hint="default" w:ascii="Times New Roman" w:hAnsi="Times New Roman" w:eastAsia="仿宋_GB2312" w:cs="Times New Roman"/>
          <w:sz w:val="32"/>
          <w:szCs w:val="32"/>
        </w:rPr>
        <w:t>联系人：牛小东，联系电话：15948909939，邮箱：184105570@qq.com。</w:t>
      </w:r>
    </w:p>
    <w:p>
      <w:pPr>
        <w:keepNext w:val="0"/>
        <w:keepLines w:val="0"/>
        <w:pageBreakBefore w:val="0"/>
        <w:kinsoku/>
        <w:wordWrap/>
        <w:overflowPunct/>
        <w:topLinePunct w:val="0"/>
        <w:autoSpaceDE/>
        <w:autoSpaceDN/>
        <w:bidi w:val="0"/>
        <w:adjustRightInd/>
        <w:snapToGrid/>
        <w:spacing w:line="578" w:lineRule="exact"/>
        <w:ind w:left="948" w:hanging="948" w:hangingChars="3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948" w:hanging="948" w:hanging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附件：1.全市建设行业安全生产“大走访大排查大治理百日攻坚”行动情况统计表</w:t>
      </w:r>
    </w:p>
    <w:p>
      <w:pPr>
        <w:keepNext w:val="0"/>
        <w:keepLines w:val="0"/>
        <w:pageBreakBefore w:val="0"/>
        <w:kinsoku/>
        <w:wordWrap/>
        <w:overflowPunct/>
        <w:topLinePunct w:val="0"/>
        <w:autoSpaceDE/>
        <w:autoSpaceDN/>
        <w:bidi w:val="0"/>
        <w:adjustRightInd/>
        <w:snapToGrid/>
        <w:spacing w:line="578" w:lineRule="exact"/>
        <w:ind w:left="931" w:leftChars="452"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2.全市建设行业安全生产“大走访大排查大治理百日攻坚”农村自建房屋安全隐患排查行动情况统计表</w:t>
      </w:r>
    </w:p>
    <w:p>
      <w:pPr>
        <w:pStyle w:val="2"/>
        <w:spacing w:line="600" w:lineRule="exact"/>
        <w:rPr>
          <w:rFonts w:hint="eastAsia" w:ascii="Times New Roman" w:hAnsi="Times New Roman" w:eastAsia="宋体" w:cs="Times New Roman"/>
          <w:lang w:eastAsia="zh-CN"/>
        </w:rPr>
      </w:pPr>
    </w:p>
    <w:p>
      <w:pPr>
        <w:pStyle w:val="2"/>
        <w:spacing w:line="600" w:lineRule="exact"/>
        <w:ind w:left="0" w:leftChars="0" w:firstLine="0" w:firstLineChars="0"/>
        <w:rPr>
          <w:rFonts w:hint="eastAsia" w:ascii="Times New Roman" w:hAnsi="Times New Roman" w:eastAsia="宋体" w:cs="Times New Roman"/>
          <w:lang w:eastAsia="zh-CN"/>
        </w:rPr>
        <w:sectPr>
          <w:footerReference r:id="rId5" w:type="default"/>
          <w:pgSz w:w="11906" w:h="16838"/>
          <w:pgMar w:top="1701" w:right="1531" w:bottom="1418" w:left="1531" w:header="851" w:footer="1032" w:gutter="0"/>
          <w:pgNumType w:fmt="numberInDash" w:start="1"/>
          <w:cols w:space="720" w:num="1"/>
          <w:docGrid w:type="linesAndChars" w:linePitch="579" w:charSpace="-842"/>
        </w:sectPr>
      </w:pPr>
    </w:p>
    <w:p>
      <w:pPr>
        <w:pStyle w:val="2"/>
        <w:spacing w:line="60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00" w:lineRule="exact"/>
        <w:jc w:val="center"/>
        <w:rPr>
          <w:rFonts w:ascii="方正小标宋简体" w:eastAsia="方正小标宋简体" w:cs="Times New Roman"/>
          <w:sz w:val="52"/>
          <w:szCs w:val="44"/>
        </w:rPr>
      </w:pPr>
      <w:r>
        <w:rPr>
          <w:rFonts w:hint="eastAsia" w:ascii="方正小标宋简体" w:eastAsia="方正小标宋简体" w:cs="Times New Roman"/>
          <w:sz w:val="40"/>
          <w:szCs w:val="32"/>
        </w:rPr>
        <w:t>全市建设行业安全生产“大走访大排查大治理百日攻坚”行动情况统计表</w:t>
      </w:r>
    </w:p>
    <w:p>
      <w:pPr>
        <w:spacing w:line="600" w:lineRule="exact"/>
        <w:textAlignment w:val="center"/>
        <w:rPr>
          <w:rFonts w:ascii="Times New Roman" w:hAnsi="Times New Roman" w:eastAsia="宋体" w:cs="Times New Roman"/>
          <w:kern w:val="0"/>
          <w:sz w:val="21"/>
          <w:szCs w:val="21"/>
          <w:lang w:bidi="ar"/>
        </w:rPr>
      </w:pPr>
      <w:r>
        <w:rPr>
          <w:rFonts w:hint="eastAsia" w:ascii="仿宋" w:hAnsi="仿宋" w:eastAsia="仿宋" w:cs="仿宋"/>
          <w:kern w:val="0"/>
          <w:sz w:val="21"/>
          <w:szCs w:val="21"/>
          <w:lang w:bidi="ar"/>
        </w:rPr>
        <w:t>填报单位（盖章）：               填表人：               审核人：          联系电话：             填报日期：</w:t>
      </w:r>
    </w:p>
    <w:tbl>
      <w:tblPr>
        <w:tblStyle w:val="16"/>
        <w:tblW w:w="13581" w:type="dxa"/>
        <w:jc w:val="center"/>
        <w:tblBorders>
          <w:top w:val="none" w:color="auto" w:sz="4" w:space="0"/>
          <w:left w:val="none" w:color="auto" w:sz="4" w:space="0"/>
          <w:bottom w:val="none" w:color="auto" w:sz="4" w:space="0"/>
          <w:right w:val="single" w:color="auto" w:sz="8" w:space="0"/>
          <w:insideH w:val="none" w:color="auto" w:sz="4" w:space="0"/>
          <w:insideV w:val="none" w:color="auto" w:sz="4" w:space="0"/>
        </w:tblBorders>
        <w:tblLayout w:type="fixed"/>
        <w:tblCellMar>
          <w:top w:w="0" w:type="dxa"/>
          <w:left w:w="0" w:type="dxa"/>
          <w:bottom w:w="0" w:type="dxa"/>
          <w:right w:w="0" w:type="dxa"/>
        </w:tblCellMar>
      </w:tblPr>
      <w:tblGrid>
        <w:gridCol w:w="1337"/>
        <w:gridCol w:w="1158"/>
        <w:gridCol w:w="934"/>
        <w:gridCol w:w="867"/>
        <w:gridCol w:w="896"/>
        <w:gridCol w:w="907"/>
        <w:gridCol w:w="766"/>
        <w:gridCol w:w="708"/>
        <w:gridCol w:w="696"/>
        <w:gridCol w:w="708"/>
        <w:gridCol w:w="852"/>
        <w:gridCol w:w="696"/>
        <w:gridCol w:w="732"/>
        <w:gridCol w:w="1332"/>
        <w:gridCol w:w="992"/>
      </w:tblGrid>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1337" w:type="dxa"/>
            <w:vMerge w:val="restart"/>
            <w:tcBorders>
              <w:top w:val="single" w:color="000000" w:sz="8" w:space="0"/>
              <w:left w:val="single" w:color="000000" w:sz="8"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r>
              <w:rPr>
                <w:rFonts w:hint="eastAsia" w:ascii="仿宋" w:hAnsi="仿宋" w:eastAsia="仿宋" w:cs="仿宋"/>
                <w:kern w:val="0"/>
                <w:sz w:val="21"/>
                <w:szCs w:val="21"/>
                <w:lang w:bidi="ar"/>
              </w:rPr>
              <w:t>专项</w:t>
            </w:r>
          </w:p>
        </w:tc>
        <w:tc>
          <w:tcPr>
            <w:tcW w:w="1158"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成立排查</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整治工作组（个）</w:t>
            </w:r>
          </w:p>
        </w:tc>
        <w:tc>
          <w:tcPr>
            <w:tcW w:w="934"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排查生产</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经营主体</w:t>
            </w:r>
          </w:p>
          <w:p>
            <w:pPr>
              <w:spacing w:line="600" w:lineRule="exact"/>
              <w:jc w:val="center"/>
              <w:textAlignment w:val="center"/>
              <w:rPr>
                <w:rFonts w:ascii="仿宋" w:hAnsi="仿宋" w:eastAsia="仿宋" w:cs="仿宋"/>
                <w:sz w:val="21"/>
                <w:szCs w:val="21"/>
              </w:rPr>
            </w:pPr>
            <w:r>
              <w:rPr>
                <w:rFonts w:hint="eastAsia" w:ascii="仿宋" w:hAnsi="仿宋" w:eastAsia="仿宋" w:cs="仿宋"/>
                <w:kern w:val="0"/>
                <w:sz w:val="21"/>
                <w:szCs w:val="21"/>
                <w:lang w:bidi="ar"/>
              </w:rPr>
              <w:t>（家）</w:t>
            </w:r>
          </w:p>
        </w:tc>
        <w:tc>
          <w:tcPr>
            <w:tcW w:w="867"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排查居</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民住宅</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（户）</w:t>
            </w:r>
          </w:p>
        </w:tc>
        <w:tc>
          <w:tcPr>
            <w:tcW w:w="896"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排查安</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全隐患</w:t>
            </w:r>
          </w:p>
          <w:p>
            <w:pPr>
              <w:spacing w:line="600" w:lineRule="exact"/>
              <w:jc w:val="center"/>
              <w:textAlignment w:val="center"/>
              <w:rPr>
                <w:rFonts w:ascii="仿宋" w:hAnsi="仿宋" w:eastAsia="仿宋" w:cs="仿宋"/>
                <w:sz w:val="21"/>
                <w:szCs w:val="21"/>
              </w:rPr>
            </w:pPr>
            <w:r>
              <w:rPr>
                <w:rFonts w:hint="eastAsia" w:ascii="仿宋" w:hAnsi="仿宋" w:eastAsia="仿宋" w:cs="仿宋"/>
                <w:kern w:val="0"/>
                <w:sz w:val="21"/>
                <w:szCs w:val="21"/>
                <w:lang w:bidi="ar"/>
              </w:rPr>
              <w:t>（项）</w:t>
            </w:r>
          </w:p>
        </w:tc>
        <w:tc>
          <w:tcPr>
            <w:tcW w:w="907"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已整改</w:t>
            </w:r>
          </w:p>
          <w:p>
            <w:pPr>
              <w:spacing w:line="600" w:lineRule="exact"/>
              <w:jc w:val="center"/>
              <w:textAlignment w:val="center"/>
              <w:rPr>
                <w:rFonts w:ascii="仿宋" w:hAnsi="仿宋" w:eastAsia="仿宋" w:cs="仿宋"/>
                <w:sz w:val="21"/>
                <w:szCs w:val="21"/>
              </w:rPr>
            </w:pPr>
            <w:r>
              <w:rPr>
                <w:rFonts w:hint="eastAsia" w:ascii="仿宋" w:hAnsi="仿宋" w:eastAsia="仿宋" w:cs="仿宋"/>
                <w:kern w:val="0"/>
                <w:sz w:val="21"/>
                <w:szCs w:val="21"/>
                <w:lang w:bidi="ar"/>
              </w:rPr>
              <w:t>安全隐患（项）</w:t>
            </w:r>
          </w:p>
        </w:tc>
        <w:tc>
          <w:tcPr>
            <w:tcW w:w="766"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r>
              <w:rPr>
                <w:rFonts w:hint="eastAsia" w:ascii="仿宋" w:hAnsi="仿宋" w:eastAsia="仿宋" w:cs="仿宋"/>
                <w:sz w:val="21"/>
                <w:szCs w:val="21"/>
              </w:rPr>
              <w:t>整改</w:t>
            </w:r>
          </w:p>
          <w:p>
            <w:pPr>
              <w:spacing w:line="600" w:lineRule="exact"/>
              <w:jc w:val="center"/>
              <w:textAlignment w:val="center"/>
              <w:rPr>
                <w:rFonts w:ascii="仿宋" w:hAnsi="仿宋" w:eastAsia="仿宋" w:cs="仿宋"/>
                <w:sz w:val="21"/>
                <w:szCs w:val="21"/>
              </w:rPr>
            </w:pPr>
            <w:r>
              <w:rPr>
                <w:rFonts w:hint="eastAsia" w:ascii="仿宋" w:hAnsi="仿宋" w:eastAsia="仿宋" w:cs="仿宋"/>
                <w:sz w:val="21"/>
                <w:szCs w:val="21"/>
              </w:rPr>
              <w:t>完成率</w:t>
            </w:r>
          </w:p>
          <w:p>
            <w:pPr>
              <w:spacing w:line="600" w:lineRule="exact"/>
              <w:jc w:val="center"/>
              <w:rPr>
                <w:rFonts w:ascii="仿宋" w:hAnsi="仿宋" w:eastAsia="仿宋" w:cs="仿宋"/>
                <w:sz w:val="21"/>
                <w:szCs w:val="21"/>
              </w:rPr>
            </w:pPr>
            <w:r>
              <w:rPr>
                <w:rFonts w:hint="eastAsia" w:ascii="仿宋" w:hAnsi="仿宋" w:eastAsia="仿宋" w:cs="仿宋"/>
                <w:kern w:val="0"/>
                <w:sz w:val="21"/>
                <w:szCs w:val="21"/>
                <w:lang w:bidi="ar"/>
              </w:rPr>
              <w:t>（%）</w:t>
            </w:r>
          </w:p>
        </w:tc>
        <w:tc>
          <w:tcPr>
            <w:tcW w:w="708"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停产</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整顿</w:t>
            </w:r>
          </w:p>
          <w:p>
            <w:pPr>
              <w:spacing w:line="600" w:lineRule="exact"/>
              <w:jc w:val="center"/>
              <w:textAlignment w:val="center"/>
              <w:rPr>
                <w:rFonts w:ascii="仿宋" w:hAnsi="仿宋" w:eastAsia="仿宋" w:cs="仿宋"/>
                <w:sz w:val="21"/>
                <w:szCs w:val="21"/>
              </w:rPr>
            </w:pPr>
            <w:r>
              <w:rPr>
                <w:rFonts w:hint="eastAsia" w:ascii="仿宋" w:hAnsi="仿宋" w:eastAsia="仿宋" w:cs="仿宋"/>
                <w:kern w:val="0"/>
                <w:sz w:val="21"/>
                <w:szCs w:val="21"/>
                <w:lang w:bidi="ar"/>
              </w:rPr>
              <w:t>（家）</w:t>
            </w:r>
          </w:p>
        </w:tc>
        <w:tc>
          <w:tcPr>
            <w:tcW w:w="696"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吊销</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执照</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（家）</w:t>
            </w:r>
          </w:p>
        </w:tc>
        <w:tc>
          <w:tcPr>
            <w:tcW w:w="708"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关闭</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取缔</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（家）</w:t>
            </w:r>
          </w:p>
        </w:tc>
        <w:tc>
          <w:tcPr>
            <w:tcW w:w="852" w:type="dxa"/>
            <w:vMerge w:val="restart"/>
            <w:tcBorders>
              <w:top w:val="single" w:color="000000" w:sz="8" w:space="0"/>
              <w:left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行政</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处罚</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（万元）</w:t>
            </w:r>
          </w:p>
        </w:tc>
        <w:tc>
          <w:tcPr>
            <w:tcW w:w="2760"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约谈主要负责人情况</w:t>
            </w:r>
          </w:p>
        </w:tc>
        <w:tc>
          <w:tcPr>
            <w:tcW w:w="992" w:type="dxa"/>
            <w:vMerge w:val="restart"/>
            <w:tcBorders>
              <w:top w:val="single" w:color="000000" w:sz="8" w:space="0"/>
              <w:lef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移送追究</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刑事责任</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（名）</w:t>
            </w: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942" w:hRule="atLeast"/>
          <w:jc w:val="center"/>
        </w:trPr>
        <w:tc>
          <w:tcPr>
            <w:tcW w:w="1337" w:type="dxa"/>
            <w:vMerge w:val="continue"/>
            <w:tcBorders>
              <w:left w:val="single" w:color="000000" w:sz="8"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11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93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86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89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90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76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70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69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70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85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p>
        </w:tc>
        <w:tc>
          <w:tcPr>
            <w:tcW w:w="69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政府</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（名）</w:t>
            </w:r>
          </w:p>
        </w:tc>
        <w:tc>
          <w:tcPr>
            <w:tcW w:w="732"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部门</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（名）</w:t>
            </w:r>
          </w:p>
        </w:tc>
        <w:tc>
          <w:tcPr>
            <w:tcW w:w="1332"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生产经营主体</w:t>
            </w:r>
          </w:p>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（名）</w:t>
            </w:r>
          </w:p>
        </w:tc>
        <w:tc>
          <w:tcPr>
            <w:tcW w:w="992" w:type="dxa"/>
            <w:vMerge w:val="continue"/>
            <w:tcBorders>
              <w:left w:val="single" w:color="000000" w:sz="4" w:space="0"/>
              <w:bottom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429" w:hRule="exact"/>
          <w:jc w:val="center"/>
        </w:trPr>
        <w:tc>
          <w:tcPr>
            <w:tcW w:w="133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建筑施工</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r>
              <w:rPr>
                <w:rFonts w:hint="eastAsia" w:ascii="仿宋" w:hAnsi="仿宋" w:eastAsia="仿宋" w:cs="仿宋"/>
                <w:sz w:val="21"/>
                <w:szCs w:val="21"/>
              </w:rPr>
              <w:t>/</w:t>
            </w: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9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531" w:hRule="exact"/>
          <w:jc w:val="center"/>
        </w:trPr>
        <w:tc>
          <w:tcPr>
            <w:tcW w:w="133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城镇燃气</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13"/>
                <w:szCs w:val="13"/>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9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464" w:hRule="exact"/>
          <w:jc w:val="center"/>
        </w:trPr>
        <w:tc>
          <w:tcPr>
            <w:tcW w:w="133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供    水</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9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exact"/>
          <w:jc w:val="center"/>
        </w:trPr>
        <w:tc>
          <w:tcPr>
            <w:tcW w:w="133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城市道路桥梁</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13"/>
                <w:szCs w:val="13"/>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r>
              <w:rPr>
                <w:rFonts w:hint="eastAsia" w:ascii="仿宋" w:hAnsi="仿宋" w:eastAsia="仿宋" w:cs="仿宋"/>
                <w:sz w:val="21"/>
                <w:szCs w:val="21"/>
              </w:rPr>
              <w:t>/</w:t>
            </w: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9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426" w:hRule="exact"/>
          <w:jc w:val="center"/>
        </w:trPr>
        <w:tc>
          <w:tcPr>
            <w:tcW w:w="133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城市公园</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13"/>
                <w:szCs w:val="13"/>
              </w:rPr>
            </w:pPr>
            <w:r>
              <w:rPr>
                <w:rFonts w:hint="eastAsia" w:ascii="仿宋" w:hAnsi="仿宋" w:eastAsia="仿宋" w:cs="仿宋"/>
                <w:sz w:val="13"/>
                <w:szCs w:val="13"/>
              </w:rPr>
              <w:t>、</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r>
              <w:rPr>
                <w:rFonts w:hint="eastAsia" w:ascii="仿宋" w:hAnsi="仿宋" w:eastAsia="仿宋" w:cs="仿宋"/>
                <w:sz w:val="21"/>
                <w:szCs w:val="21"/>
              </w:rPr>
              <w:t>/</w:t>
            </w: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9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424" w:hRule="exact"/>
          <w:jc w:val="center"/>
        </w:trPr>
        <w:tc>
          <w:tcPr>
            <w:tcW w:w="133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城市管理</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13"/>
                <w:szCs w:val="13"/>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r>
              <w:rPr>
                <w:rFonts w:hint="eastAsia" w:ascii="仿宋" w:hAnsi="仿宋" w:eastAsia="仿宋" w:cs="仿宋"/>
                <w:sz w:val="21"/>
                <w:szCs w:val="21"/>
              </w:rPr>
              <w:t>/</w:t>
            </w: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9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504" w:hRule="exact"/>
          <w:jc w:val="center"/>
        </w:trPr>
        <w:tc>
          <w:tcPr>
            <w:tcW w:w="133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供    热</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13"/>
                <w:szCs w:val="13"/>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9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436" w:hRule="exact"/>
          <w:jc w:val="center"/>
        </w:trPr>
        <w:tc>
          <w:tcPr>
            <w:tcW w:w="133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房屋建筑</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13"/>
                <w:szCs w:val="13"/>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9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414" w:hRule="exact"/>
          <w:jc w:val="center"/>
        </w:trPr>
        <w:tc>
          <w:tcPr>
            <w:tcW w:w="133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kern w:val="0"/>
                <w:sz w:val="21"/>
                <w:szCs w:val="21"/>
                <w:lang w:bidi="ar"/>
              </w:rPr>
            </w:pPr>
            <w:r>
              <w:rPr>
                <w:rFonts w:hint="eastAsia" w:ascii="仿宋" w:hAnsi="仿宋" w:eastAsia="仿宋" w:cs="仿宋"/>
                <w:kern w:val="0"/>
                <w:sz w:val="21"/>
                <w:szCs w:val="21"/>
                <w:lang w:bidi="ar"/>
              </w:rPr>
              <w:t>其    他</w:t>
            </w:r>
          </w:p>
        </w:tc>
        <w:tc>
          <w:tcPr>
            <w:tcW w:w="1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13"/>
                <w:szCs w:val="13"/>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9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r>
      <w:tr>
        <w:tblPrEx>
          <w:tblBorders>
            <w:top w:val="none" w:color="auto" w:sz="4" w:space="0"/>
            <w:left w:val="none" w:color="auto" w:sz="4" w:space="0"/>
            <w:bottom w:val="none" w:color="auto" w:sz="4" w:space="0"/>
            <w:right w:val="single" w:color="auto" w:sz="8" w:space="0"/>
            <w:insideH w:val="none" w:color="auto" w:sz="4" w:space="0"/>
            <w:insideV w:val="none" w:color="auto" w:sz="4" w:space="0"/>
          </w:tblBorders>
          <w:tblCellMar>
            <w:top w:w="0" w:type="dxa"/>
            <w:left w:w="0" w:type="dxa"/>
            <w:bottom w:w="0" w:type="dxa"/>
            <w:right w:w="0" w:type="dxa"/>
          </w:tblCellMar>
        </w:tblPrEx>
        <w:trPr>
          <w:trHeight w:val="439" w:hRule="exact"/>
          <w:jc w:val="center"/>
        </w:trPr>
        <w:tc>
          <w:tcPr>
            <w:tcW w:w="1337"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600" w:lineRule="exact"/>
              <w:jc w:val="center"/>
              <w:textAlignment w:val="center"/>
              <w:rPr>
                <w:rFonts w:ascii="仿宋" w:hAnsi="仿宋" w:eastAsia="仿宋" w:cs="仿宋"/>
                <w:sz w:val="21"/>
                <w:szCs w:val="21"/>
              </w:rPr>
            </w:pPr>
            <w:r>
              <w:rPr>
                <w:rFonts w:hint="eastAsia" w:ascii="仿宋" w:hAnsi="仿宋" w:eastAsia="仿宋" w:cs="仿宋"/>
                <w:kern w:val="0"/>
                <w:sz w:val="21"/>
                <w:szCs w:val="21"/>
                <w:lang w:bidi="ar"/>
              </w:rPr>
              <w:t>合    计</w:t>
            </w:r>
          </w:p>
        </w:tc>
        <w:tc>
          <w:tcPr>
            <w:tcW w:w="115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3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6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9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0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6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0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85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69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7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133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c>
          <w:tcPr>
            <w:tcW w:w="992" w:type="dxa"/>
            <w:tcBorders>
              <w:top w:val="single" w:color="000000" w:sz="4" w:space="0"/>
              <w:left w:val="single" w:color="000000" w:sz="4" w:space="0"/>
              <w:bottom w:val="single" w:color="000000" w:sz="8" w:space="0"/>
            </w:tcBorders>
            <w:noWrap w:val="0"/>
            <w:tcMar>
              <w:top w:w="15" w:type="dxa"/>
              <w:left w:w="15" w:type="dxa"/>
              <w:right w:w="15" w:type="dxa"/>
            </w:tcMar>
            <w:vAlign w:val="center"/>
          </w:tcPr>
          <w:p>
            <w:pPr>
              <w:spacing w:line="600" w:lineRule="exact"/>
              <w:jc w:val="center"/>
              <w:rPr>
                <w:rFonts w:ascii="仿宋" w:hAnsi="仿宋" w:eastAsia="仿宋" w:cs="仿宋"/>
                <w:sz w:val="21"/>
                <w:szCs w:val="21"/>
              </w:rPr>
            </w:pPr>
          </w:p>
        </w:tc>
      </w:tr>
    </w:tbl>
    <w:p>
      <w:pPr>
        <w:spacing w:line="600" w:lineRule="exact"/>
        <w:rPr>
          <w:rFonts w:ascii="黑体" w:hAnsi="黑体" w:eastAsia="黑体" w:cs="Times New Roman"/>
          <w:sz w:val="32"/>
          <w:szCs w:val="32"/>
        </w:rPr>
      </w:pPr>
      <w:r>
        <w:rPr>
          <w:rFonts w:hint="eastAsia" w:ascii="黑体" w:hAnsi="黑体" w:eastAsia="黑体" w:cs="Times New Roman"/>
          <w:sz w:val="32"/>
          <w:szCs w:val="32"/>
        </w:rPr>
        <w:t>附件2</w:t>
      </w:r>
    </w:p>
    <w:p>
      <w:pPr>
        <w:spacing w:line="600" w:lineRule="exact"/>
        <w:jc w:val="center"/>
      </w:pPr>
      <w:r>
        <w:rPr>
          <w:rFonts w:hint="eastAsia" w:ascii="方正小标宋简体" w:eastAsia="方正小标宋简体" w:cs="Times New Roman"/>
          <w:sz w:val="40"/>
          <w:szCs w:val="32"/>
        </w:rPr>
        <w:t>全市建设行业安全生产“大走访大排查大治理百日攻坚”农村自建房屋安全隐患排查行动情况统计表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810"/>
        <w:gridCol w:w="810"/>
        <w:gridCol w:w="810"/>
        <w:gridCol w:w="811"/>
        <w:gridCol w:w="811"/>
        <w:gridCol w:w="811"/>
        <w:gridCol w:w="811"/>
        <w:gridCol w:w="811"/>
        <w:gridCol w:w="811"/>
        <w:gridCol w:w="811"/>
        <w:gridCol w:w="811"/>
        <w:gridCol w:w="811"/>
        <w:gridCol w:w="811"/>
        <w:gridCol w:w="811"/>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0" w:type="dxa"/>
            <w:vMerge w:val="restart"/>
            <w:noWrap w:val="0"/>
            <w:vAlign w:val="center"/>
          </w:tcPr>
          <w:p>
            <w:pPr>
              <w:jc w:val="center"/>
              <w:rPr>
                <w:rFonts w:ascii="仿宋" w:hAnsi="仿宋" w:eastAsia="仿宋" w:cs="仿宋"/>
                <w:sz w:val="18"/>
                <w:szCs w:val="18"/>
              </w:rPr>
            </w:pPr>
            <w:r>
              <w:rPr>
                <w:rFonts w:hint="eastAsia" w:ascii="仿宋" w:hAnsi="仿宋" w:eastAsia="仿宋" w:cs="仿宋"/>
                <w:sz w:val="18"/>
                <w:szCs w:val="18"/>
              </w:rPr>
              <w:t>序号</w:t>
            </w:r>
          </w:p>
        </w:tc>
        <w:tc>
          <w:tcPr>
            <w:tcW w:w="810" w:type="dxa"/>
            <w:vMerge w:val="restart"/>
            <w:noWrap w:val="0"/>
            <w:vAlign w:val="center"/>
          </w:tcPr>
          <w:p>
            <w:pPr>
              <w:jc w:val="center"/>
              <w:rPr>
                <w:rFonts w:ascii="仿宋" w:hAnsi="仿宋" w:eastAsia="仿宋" w:cs="仿宋"/>
                <w:sz w:val="18"/>
                <w:szCs w:val="18"/>
              </w:rPr>
            </w:pPr>
            <w:r>
              <w:rPr>
                <w:rFonts w:hint="eastAsia" w:ascii="仿宋" w:hAnsi="仿宋" w:eastAsia="仿宋" w:cs="仿宋"/>
                <w:sz w:val="18"/>
                <w:szCs w:val="18"/>
              </w:rPr>
              <w:t>县市</w:t>
            </w:r>
          </w:p>
        </w:tc>
        <w:tc>
          <w:tcPr>
            <w:tcW w:w="8108" w:type="dxa"/>
            <w:gridSpan w:val="10"/>
            <w:noWrap w:val="0"/>
            <w:vAlign w:val="center"/>
          </w:tcPr>
          <w:p>
            <w:pPr>
              <w:jc w:val="center"/>
              <w:rPr>
                <w:rFonts w:ascii="仿宋" w:hAnsi="仿宋" w:eastAsia="仿宋" w:cs="仿宋"/>
                <w:sz w:val="18"/>
                <w:szCs w:val="18"/>
              </w:rPr>
            </w:pPr>
            <w:r>
              <w:rPr>
                <w:rFonts w:hint="eastAsia" w:ascii="仿宋" w:hAnsi="仿宋" w:eastAsia="仿宋" w:cs="仿宋"/>
                <w:sz w:val="18"/>
                <w:szCs w:val="18"/>
              </w:rPr>
              <w:t>排查整治隐患</w:t>
            </w:r>
          </w:p>
        </w:tc>
        <w:tc>
          <w:tcPr>
            <w:tcW w:w="3244" w:type="dxa"/>
            <w:gridSpan w:val="4"/>
            <w:noWrap w:val="0"/>
            <w:vAlign w:val="center"/>
          </w:tcPr>
          <w:p>
            <w:pPr>
              <w:jc w:val="center"/>
              <w:rPr>
                <w:rFonts w:ascii="仿宋" w:hAnsi="仿宋" w:eastAsia="仿宋" w:cs="仿宋"/>
                <w:sz w:val="18"/>
                <w:szCs w:val="18"/>
              </w:rPr>
            </w:pPr>
            <w:r>
              <w:rPr>
                <w:rFonts w:hint="eastAsia" w:ascii="仿宋" w:hAnsi="仿宋" w:eastAsia="仿宋" w:cs="仿宋"/>
                <w:sz w:val="18"/>
                <w:szCs w:val="18"/>
              </w:rPr>
              <w:t>开展督导检查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0" w:type="dxa"/>
            <w:vMerge w:val="continue"/>
            <w:noWrap w:val="0"/>
            <w:vAlign w:val="center"/>
          </w:tcPr>
          <w:p>
            <w:pPr>
              <w:jc w:val="center"/>
              <w:rPr>
                <w:rFonts w:ascii="仿宋" w:hAnsi="仿宋" w:eastAsia="仿宋" w:cs="仿宋"/>
                <w:sz w:val="18"/>
                <w:szCs w:val="18"/>
              </w:rPr>
            </w:pPr>
          </w:p>
        </w:tc>
        <w:tc>
          <w:tcPr>
            <w:tcW w:w="810" w:type="dxa"/>
            <w:vMerge w:val="continue"/>
            <w:noWrap w:val="0"/>
            <w:vAlign w:val="center"/>
          </w:tcPr>
          <w:p>
            <w:pPr>
              <w:jc w:val="center"/>
              <w:rPr>
                <w:rFonts w:ascii="仿宋" w:hAnsi="仿宋" w:eastAsia="仿宋" w:cs="仿宋"/>
                <w:sz w:val="18"/>
                <w:szCs w:val="18"/>
              </w:rPr>
            </w:pPr>
          </w:p>
        </w:tc>
        <w:tc>
          <w:tcPr>
            <w:tcW w:w="810" w:type="dxa"/>
            <w:vMerge w:val="restart"/>
            <w:noWrap w:val="0"/>
            <w:vAlign w:val="center"/>
          </w:tcPr>
          <w:p>
            <w:pPr>
              <w:jc w:val="center"/>
              <w:rPr>
                <w:rFonts w:ascii="仿宋" w:hAnsi="仿宋" w:eastAsia="仿宋" w:cs="仿宋"/>
                <w:sz w:val="18"/>
                <w:szCs w:val="18"/>
              </w:rPr>
            </w:pPr>
            <w:r>
              <w:rPr>
                <w:rFonts w:hint="eastAsia" w:ascii="仿宋" w:hAnsi="仿宋" w:eastAsia="仿宋" w:cs="仿宋"/>
                <w:sz w:val="18"/>
                <w:szCs w:val="18"/>
              </w:rPr>
              <w:t>排查总 数</w:t>
            </w:r>
          </w:p>
        </w:tc>
        <w:tc>
          <w:tcPr>
            <w:tcW w:w="3243" w:type="dxa"/>
            <w:gridSpan w:val="4"/>
            <w:noWrap w:val="0"/>
            <w:vAlign w:val="center"/>
          </w:tcPr>
          <w:p>
            <w:pPr>
              <w:jc w:val="center"/>
              <w:rPr>
                <w:rFonts w:ascii="仿宋" w:hAnsi="仿宋" w:eastAsia="仿宋" w:cs="仿宋"/>
                <w:sz w:val="18"/>
                <w:szCs w:val="18"/>
              </w:rPr>
            </w:pPr>
            <w:r>
              <w:rPr>
                <w:rFonts w:hint="eastAsia" w:ascii="仿宋" w:hAnsi="仿宋" w:eastAsia="仿宋" w:cs="仿宋"/>
                <w:sz w:val="18"/>
                <w:szCs w:val="18"/>
              </w:rPr>
              <w:t>三层（及）以上、跨度较大、用于经营、人员密集擅自改扩建等5类重点房屋</w:t>
            </w:r>
          </w:p>
        </w:tc>
        <w:tc>
          <w:tcPr>
            <w:tcW w:w="4055" w:type="dxa"/>
            <w:gridSpan w:val="5"/>
            <w:noWrap w:val="0"/>
            <w:vAlign w:val="center"/>
          </w:tcPr>
          <w:p>
            <w:pPr>
              <w:jc w:val="center"/>
              <w:rPr>
                <w:rFonts w:ascii="仿宋" w:hAnsi="仿宋" w:eastAsia="仿宋" w:cs="仿宋"/>
                <w:sz w:val="18"/>
                <w:szCs w:val="18"/>
              </w:rPr>
            </w:pPr>
            <w:r>
              <w:rPr>
                <w:rFonts w:hint="eastAsia" w:ascii="仿宋" w:hAnsi="仿宋" w:eastAsia="仿宋" w:cs="仿宋"/>
                <w:sz w:val="18"/>
                <w:szCs w:val="18"/>
              </w:rPr>
              <w:t>初判存在安全隐患的住房</w:t>
            </w:r>
          </w:p>
        </w:tc>
        <w:tc>
          <w:tcPr>
            <w:tcW w:w="811" w:type="dxa"/>
            <w:vMerge w:val="restart"/>
            <w:noWrap w:val="0"/>
            <w:vAlign w:val="center"/>
          </w:tcPr>
          <w:p>
            <w:pPr>
              <w:jc w:val="center"/>
              <w:rPr>
                <w:rFonts w:ascii="仿宋" w:hAnsi="仿宋" w:eastAsia="仿宋" w:cs="仿宋"/>
                <w:sz w:val="18"/>
                <w:szCs w:val="18"/>
              </w:rPr>
            </w:pPr>
            <w:r>
              <w:rPr>
                <w:rFonts w:hint="eastAsia" w:ascii="仿宋" w:hAnsi="仿宋" w:eastAsia="仿宋" w:cs="仿宋"/>
                <w:sz w:val="18"/>
                <w:szCs w:val="18"/>
              </w:rPr>
              <w:t>成立检查组</w:t>
            </w:r>
          </w:p>
        </w:tc>
        <w:tc>
          <w:tcPr>
            <w:tcW w:w="811" w:type="dxa"/>
            <w:vMerge w:val="restart"/>
            <w:noWrap w:val="0"/>
            <w:vAlign w:val="center"/>
          </w:tcPr>
          <w:p>
            <w:pPr>
              <w:jc w:val="center"/>
              <w:rPr>
                <w:rFonts w:ascii="仿宋" w:hAnsi="仿宋" w:eastAsia="仿宋" w:cs="仿宋"/>
                <w:sz w:val="18"/>
                <w:szCs w:val="18"/>
              </w:rPr>
            </w:pPr>
            <w:r>
              <w:rPr>
                <w:rFonts w:hint="eastAsia" w:ascii="仿宋" w:hAnsi="仿宋" w:eastAsia="仿宋" w:cs="仿宋"/>
                <w:sz w:val="18"/>
                <w:szCs w:val="18"/>
              </w:rPr>
              <w:t>督导检查次数</w:t>
            </w:r>
          </w:p>
        </w:tc>
        <w:tc>
          <w:tcPr>
            <w:tcW w:w="811" w:type="dxa"/>
            <w:vMerge w:val="restart"/>
            <w:noWrap w:val="0"/>
            <w:vAlign w:val="center"/>
          </w:tcPr>
          <w:p>
            <w:pPr>
              <w:jc w:val="center"/>
              <w:rPr>
                <w:rFonts w:ascii="仿宋" w:hAnsi="仿宋" w:eastAsia="仿宋" w:cs="仿宋"/>
                <w:sz w:val="18"/>
                <w:szCs w:val="18"/>
              </w:rPr>
            </w:pPr>
            <w:r>
              <w:rPr>
                <w:rFonts w:hint="eastAsia" w:ascii="仿宋" w:hAnsi="仿宋" w:eastAsia="仿宋" w:cs="仿宋"/>
                <w:sz w:val="18"/>
                <w:szCs w:val="18"/>
              </w:rPr>
              <w:t>检查单位</w:t>
            </w:r>
          </w:p>
        </w:tc>
        <w:tc>
          <w:tcPr>
            <w:tcW w:w="811" w:type="dxa"/>
            <w:vMerge w:val="restart"/>
            <w:noWrap w:val="0"/>
            <w:vAlign w:val="center"/>
          </w:tcPr>
          <w:p>
            <w:pPr>
              <w:jc w:val="center"/>
              <w:rPr>
                <w:rFonts w:ascii="仿宋" w:hAnsi="仿宋" w:eastAsia="仿宋" w:cs="仿宋"/>
                <w:sz w:val="18"/>
                <w:szCs w:val="18"/>
              </w:rPr>
            </w:pPr>
            <w:r>
              <w:rPr>
                <w:rFonts w:hint="eastAsia" w:ascii="仿宋" w:hAnsi="仿宋" w:eastAsia="仿宋" w:cs="仿宋"/>
                <w:sz w:val="18"/>
                <w:szCs w:val="18"/>
              </w:rPr>
              <w:t>督导问题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10" w:type="dxa"/>
            <w:vMerge w:val="continue"/>
            <w:noWrap w:val="0"/>
            <w:vAlign w:val="center"/>
          </w:tcPr>
          <w:p>
            <w:pPr>
              <w:jc w:val="center"/>
              <w:rPr>
                <w:rFonts w:ascii="仿宋" w:hAnsi="仿宋" w:eastAsia="仿宋" w:cs="仿宋"/>
                <w:sz w:val="18"/>
                <w:szCs w:val="18"/>
              </w:rPr>
            </w:pPr>
          </w:p>
        </w:tc>
        <w:tc>
          <w:tcPr>
            <w:tcW w:w="810" w:type="dxa"/>
            <w:vMerge w:val="continue"/>
            <w:noWrap w:val="0"/>
            <w:vAlign w:val="center"/>
          </w:tcPr>
          <w:p>
            <w:pPr>
              <w:jc w:val="center"/>
              <w:rPr>
                <w:rFonts w:ascii="仿宋" w:hAnsi="仿宋" w:eastAsia="仿宋" w:cs="仿宋"/>
                <w:sz w:val="18"/>
                <w:szCs w:val="18"/>
              </w:rPr>
            </w:pPr>
          </w:p>
        </w:tc>
        <w:tc>
          <w:tcPr>
            <w:tcW w:w="810" w:type="dxa"/>
            <w:vMerge w:val="continue"/>
            <w:noWrap w:val="0"/>
            <w:vAlign w:val="center"/>
          </w:tcPr>
          <w:p>
            <w:pPr>
              <w:jc w:val="center"/>
              <w:rPr>
                <w:rFonts w:ascii="仿宋" w:hAnsi="仿宋" w:eastAsia="仿宋" w:cs="仿宋"/>
                <w:sz w:val="18"/>
                <w:szCs w:val="18"/>
              </w:rPr>
            </w:pPr>
          </w:p>
        </w:tc>
        <w:tc>
          <w:tcPr>
            <w:tcW w:w="810"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排查</w:t>
            </w: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存在安全隐患</w:t>
            </w: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已整治</w:t>
            </w: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整治率</w:t>
            </w: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排查</w:t>
            </w: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其中：空置</w:t>
            </w: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已采取安全措施</w:t>
            </w: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已整治</w:t>
            </w: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整治率</w:t>
            </w:r>
          </w:p>
        </w:tc>
        <w:tc>
          <w:tcPr>
            <w:tcW w:w="811" w:type="dxa"/>
            <w:vMerge w:val="continue"/>
            <w:noWrap w:val="0"/>
            <w:vAlign w:val="center"/>
          </w:tcPr>
          <w:p>
            <w:pPr>
              <w:jc w:val="center"/>
              <w:rPr>
                <w:rFonts w:ascii="仿宋" w:hAnsi="仿宋" w:eastAsia="仿宋" w:cs="仿宋"/>
                <w:sz w:val="18"/>
                <w:szCs w:val="18"/>
              </w:rPr>
            </w:pPr>
          </w:p>
        </w:tc>
        <w:tc>
          <w:tcPr>
            <w:tcW w:w="811" w:type="dxa"/>
            <w:vMerge w:val="continue"/>
            <w:noWrap w:val="0"/>
            <w:vAlign w:val="center"/>
          </w:tcPr>
          <w:p>
            <w:pPr>
              <w:jc w:val="center"/>
              <w:rPr>
                <w:rFonts w:ascii="仿宋" w:hAnsi="仿宋" w:eastAsia="仿宋" w:cs="仿宋"/>
                <w:sz w:val="18"/>
                <w:szCs w:val="18"/>
              </w:rPr>
            </w:pPr>
          </w:p>
        </w:tc>
        <w:tc>
          <w:tcPr>
            <w:tcW w:w="811" w:type="dxa"/>
            <w:vMerge w:val="continue"/>
            <w:noWrap w:val="0"/>
            <w:vAlign w:val="center"/>
          </w:tcPr>
          <w:p>
            <w:pPr>
              <w:jc w:val="center"/>
              <w:rPr>
                <w:rFonts w:ascii="仿宋" w:hAnsi="仿宋" w:eastAsia="仿宋" w:cs="仿宋"/>
                <w:sz w:val="18"/>
                <w:szCs w:val="18"/>
              </w:rPr>
            </w:pPr>
          </w:p>
        </w:tc>
        <w:tc>
          <w:tcPr>
            <w:tcW w:w="811" w:type="dxa"/>
            <w:vMerge w:val="continue"/>
            <w:noWrap w:val="0"/>
            <w:vAlign w:val="center"/>
          </w:tcPr>
          <w:p>
            <w:pPr>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810" w:type="dxa"/>
            <w:vMerge w:val="continue"/>
            <w:noWrap w:val="0"/>
            <w:vAlign w:val="center"/>
          </w:tcPr>
          <w:p>
            <w:pPr>
              <w:jc w:val="center"/>
              <w:rPr>
                <w:rFonts w:ascii="仿宋" w:hAnsi="仿宋" w:eastAsia="仿宋" w:cs="仿宋"/>
                <w:sz w:val="18"/>
                <w:szCs w:val="18"/>
              </w:rPr>
            </w:pPr>
          </w:p>
        </w:tc>
        <w:tc>
          <w:tcPr>
            <w:tcW w:w="810" w:type="dxa"/>
            <w:vMerge w:val="continue"/>
            <w:noWrap w:val="0"/>
            <w:vAlign w:val="center"/>
          </w:tcPr>
          <w:p>
            <w:pPr>
              <w:jc w:val="center"/>
              <w:rPr>
                <w:rFonts w:ascii="仿宋" w:hAnsi="仿宋" w:eastAsia="仿宋" w:cs="仿宋"/>
                <w:sz w:val="18"/>
                <w:szCs w:val="18"/>
              </w:rPr>
            </w:pPr>
          </w:p>
        </w:tc>
        <w:tc>
          <w:tcPr>
            <w:tcW w:w="810"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（户）</w:t>
            </w:r>
          </w:p>
          <w:p>
            <w:pPr>
              <w:pStyle w:val="2"/>
              <w:ind w:left="632" w:firstLine="352"/>
              <w:jc w:val="center"/>
              <w:rPr>
                <w:rFonts w:ascii="仿宋" w:hAnsi="仿宋" w:eastAsia="仿宋" w:cs="仿宋"/>
                <w:sz w:val="18"/>
                <w:szCs w:val="18"/>
              </w:rPr>
            </w:pPr>
          </w:p>
        </w:tc>
        <w:tc>
          <w:tcPr>
            <w:tcW w:w="810"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（户）</w:t>
            </w:r>
          </w:p>
          <w:p>
            <w:pPr>
              <w:jc w:val="center"/>
              <w:rPr>
                <w:rFonts w:ascii="仿宋" w:hAnsi="仿宋" w:eastAsia="仿宋" w:cs="仿宋"/>
                <w:sz w:val="18"/>
                <w:szCs w:val="18"/>
              </w:rPr>
            </w:pP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（户）</w:t>
            </w:r>
          </w:p>
          <w:p>
            <w:pPr>
              <w:jc w:val="center"/>
              <w:rPr>
                <w:rFonts w:ascii="仿宋" w:hAnsi="仿宋" w:eastAsia="仿宋" w:cs="仿宋"/>
                <w:sz w:val="18"/>
                <w:szCs w:val="18"/>
              </w:rPr>
            </w:pP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（户）</w:t>
            </w:r>
          </w:p>
          <w:p>
            <w:pPr>
              <w:jc w:val="center"/>
              <w:rPr>
                <w:rFonts w:ascii="仿宋" w:hAnsi="仿宋" w:eastAsia="仿宋" w:cs="仿宋"/>
                <w:sz w:val="18"/>
                <w:szCs w:val="18"/>
              </w:rPr>
            </w:pP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（户）</w:t>
            </w:r>
          </w:p>
          <w:p>
            <w:pPr>
              <w:jc w:val="center"/>
              <w:rPr>
                <w:rFonts w:ascii="仿宋" w:hAnsi="仿宋" w:eastAsia="仿宋" w:cs="仿宋"/>
                <w:sz w:val="18"/>
                <w:szCs w:val="18"/>
              </w:rPr>
            </w:pP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（户）</w:t>
            </w:r>
          </w:p>
          <w:p>
            <w:pPr>
              <w:jc w:val="center"/>
              <w:rPr>
                <w:rFonts w:ascii="仿宋" w:hAnsi="仿宋" w:eastAsia="仿宋" w:cs="仿宋"/>
                <w:sz w:val="18"/>
                <w:szCs w:val="18"/>
              </w:rPr>
            </w:pP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（户）</w:t>
            </w:r>
          </w:p>
          <w:p>
            <w:pPr>
              <w:jc w:val="center"/>
              <w:rPr>
                <w:rFonts w:ascii="仿宋" w:hAnsi="仿宋" w:eastAsia="仿宋" w:cs="仿宋"/>
                <w:sz w:val="18"/>
                <w:szCs w:val="18"/>
              </w:rPr>
            </w:pP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（户）</w:t>
            </w:r>
          </w:p>
          <w:p>
            <w:pPr>
              <w:jc w:val="center"/>
              <w:rPr>
                <w:rFonts w:ascii="仿宋" w:hAnsi="仿宋" w:eastAsia="仿宋" w:cs="仿宋"/>
                <w:sz w:val="18"/>
                <w:szCs w:val="18"/>
              </w:rPr>
            </w:pP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w:t>
            </w: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（个）</w:t>
            </w:r>
          </w:p>
          <w:p>
            <w:pPr>
              <w:jc w:val="center"/>
              <w:rPr>
                <w:rFonts w:ascii="仿宋" w:hAnsi="仿宋" w:eastAsia="仿宋" w:cs="仿宋"/>
                <w:sz w:val="18"/>
                <w:szCs w:val="18"/>
              </w:rPr>
            </w:pP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（次）</w:t>
            </w:r>
          </w:p>
          <w:p>
            <w:pPr>
              <w:jc w:val="center"/>
              <w:rPr>
                <w:rFonts w:ascii="仿宋" w:hAnsi="仿宋" w:eastAsia="仿宋" w:cs="仿宋"/>
                <w:sz w:val="18"/>
                <w:szCs w:val="18"/>
              </w:rPr>
            </w:pP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（家）</w:t>
            </w:r>
          </w:p>
          <w:p>
            <w:pPr>
              <w:jc w:val="center"/>
              <w:rPr>
                <w:rFonts w:ascii="仿宋" w:hAnsi="仿宋" w:eastAsia="仿宋" w:cs="仿宋"/>
                <w:sz w:val="18"/>
                <w:szCs w:val="18"/>
              </w:rPr>
            </w:pPr>
          </w:p>
        </w:tc>
        <w:tc>
          <w:tcPr>
            <w:tcW w:w="811" w:type="dxa"/>
            <w:noWrap w:val="0"/>
            <w:vAlign w:val="center"/>
          </w:tcPr>
          <w:p>
            <w:pPr>
              <w:jc w:val="center"/>
              <w:rPr>
                <w:rFonts w:ascii="仿宋" w:hAnsi="仿宋" w:eastAsia="仿宋" w:cs="仿宋"/>
                <w:sz w:val="18"/>
                <w:szCs w:val="18"/>
              </w:rPr>
            </w:pPr>
            <w:r>
              <w:rPr>
                <w:rFonts w:hint="eastAsia" w:ascii="仿宋" w:hAnsi="仿宋" w:eastAsia="仿宋" w:cs="仿宋"/>
                <w:sz w:val="18"/>
                <w:szCs w:val="18"/>
              </w:rPr>
              <w:t>（个）</w:t>
            </w:r>
          </w:p>
          <w:p>
            <w:pPr>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0" w:type="dxa"/>
            <w:noWrap w:val="0"/>
            <w:vAlign w:val="center"/>
          </w:tcPr>
          <w:p>
            <w:pPr>
              <w:jc w:val="center"/>
              <w:rPr>
                <w:sz w:val="15"/>
                <w:szCs w:val="15"/>
              </w:rPr>
            </w:pPr>
            <w:r>
              <w:rPr>
                <w:rFonts w:hint="eastAsia"/>
                <w:sz w:val="15"/>
                <w:szCs w:val="15"/>
              </w:rPr>
              <w:t>1</w:t>
            </w:r>
          </w:p>
        </w:tc>
        <w:tc>
          <w:tcPr>
            <w:tcW w:w="810" w:type="dxa"/>
            <w:noWrap w:val="0"/>
            <w:vAlign w:val="center"/>
          </w:tcPr>
          <w:p>
            <w:pPr>
              <w:jc w:val="center"/>
              <w:rPr>
                <w:sz w:val="15"/>
                <w:szCs w:val="15"/>
              </w:rPr>
            </w:pPr>
            <w:r>
              <w:rPr>
                <w:rFonts w:hint="eastAsia"/>
                <w:sz w:val="15"/>
                <w:szCs w:val="15"/>
              </w:rPr>
              <w:t>XX市</w:t>
            </w:r>
          </w:p>
        </w:tc>
        <w:tc>
          <w:tcPr>
            <w:tcW w:w="810" w:type="dxa"/>
            <w:noWrap w:val="0"/>
            <w:vAlign w:val="center"/>
          </w:tcPr>
          <w:p>
            <w:pPr>
              <w:jc w:val="center"/>
              <w:rPr>
                <w:sz w:val="15"/>
                <w:szCs w:val="15"/>
              </w:rPr>
            </w:pPr>
          </w:p>
        </w:tc>
        <w:tc>
          <w:tcPr>
            <w:tcW w:w="810"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0" w:type="dxa"/>
            <w:noWrap w:val="0"/>
            <w:vAlign w:val="center"/>
          </w:tcPr>
          <w:p>
            <w:pPr>
              <w:jc w:val="center"/>
              <w:rPr>
                <w:sz w:val="15"/>
                <w:szCs w:val="15"/>
              </w:rPr>
            </w:pPr>
            <w:r>
              <w:rPr>
                <w:rFonts w:hint="eastAsia"/>
                <w:sz w:val="15"/>
                <w:szCs w:val="15"/>
              </w:rPr>
              <w:t>2</w:t>
            </w:r>
          </w:p>
        </w:tc>
        <w:tc>
          <w:tcPr>
            <w:tcW w:w="810" w:type="dxa"/>
            <w:noWrap w:val="0"/>
            <w:vAlign w:val="center"/>
          </w:tcPr>
          <w:p>
            <w:pPr>
              <w:jc w:val="center"/>
              <w:rPr>
                <w:sz w:val="15"/>
                <w:szCs w:val="15"/>
              </w:rPr>
            </w:pPr>
            <w:r>
              <w:rPr>
                <w:rFonts w:hint="eastAsia"/>
                <w:sz w:val="15"/>
                <w:szCs w:val="15"/>
              </w:rPr>
              <w:t>XX区</w:t>
            </w:r>
          </w:p>
        </w:tc>
        <w:tc>
          <w:tcPr>
            <w:tcW w:w="810" w:type="dxa"/>
            <w:noWrap w:val="0"/>
            <w:vAlign w:val="center"/>
          </w:tcPr>
          <w:p>
            <w:pPr>
              <w:jc w:val="center"/>
              <w:rPr>
                <w:sz w:val="15"/>
                <w:szCs w:val="15"/>
              </w:rPr>
            </w:pPr>
          </w:p>
        </w:tc>
        <w:tc>
          <w:tcPr>
            <w:tcW w:w="810"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c>
          <w:tcPr>
            <w:tcW w:w="811" w:type="dxa"/>
            <w:noWrap w:val="0"/>
            <w:vAlign w:val="center"/>
          </w:tcPr>
          <w:p>
            <w:pPr>
              <w:jc w:val="center"/>
              <w:rPr>
                <w:sz w:val="15"/>
                <w:szCs w:val="15"/>
              </w:rPr>
            </w:pPr>
          </w:p>
        </w:tc>
      </w:tr>
    </w:tbl>
    <w:p>
      <w:pPr>
        <w:pStyle w:val="2"/>
        <w:spacing w:line="600" w:lineRule="exact"/>
        <w:ind w:left="0" w:leftChars="0" w:firstLine="0" w:firstLineChars="0"/>
        <w:rPr>
          <w:rFonts w:hint="eastAsia" w:ascii="Times New Roman" w:hAnsi="Times New Roman" w:eastAsia="宋体" w:cs="Times New Roman"/>
          <w:lang w:eastAsia="zh-CN"/>
        </w:rPr>
        <w:sectPr>
          <w:footerReference r:id="rId6" w:type="default"/>
          <w:pgSz w:w="16838" w:h="11906" w:orient="landscape"/>
          <w:pgMar w:top="1531" w:right="1701" w:bottom="1531" w:left="1418" w:header="851" w:footer="1032" w:gutter="0"/>
          <w:pgNumType w:fmt="numberInDash" w:start="10"/>
          <w:cols w:space="720" w:num="1"/>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sectPr>
      <w:footerReference r:id="rId7" w:type="default"/>
      <w:footerReference r:id="rId8" w:type="even"/>
      <w:pgSz w:w="16840" w:h="11907" w:orient="landscape"/>
      <w:pgMar w:top="1474" w:right="2041" w:bottom="1474" w:left="2041"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306"/>
        <w:tab w:val="clear" w:pos="8307"/>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306"/>
        <w:tab w:val="clear" w:pos="8307"/>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g54c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eUOG5x4OefP86/Hs8P38n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YOeHIAQAAmQMAAA4AAAAAAAAAAQAgAAAAHgEAAGRycy9lMm9Eb2Mu&#10;eG1sUEsFBgAAAAAGAAYAWQEAAFgFAAAAAA==&#10;">
              <v:fill on="f" focussize="0,0"/>
              <v:stroke on="f"/>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22973"/>
    <w:rsid w:val="039A5493"/>
    <w:rsid w:val="09884B31"/>
    <w:rsid w:val="0A522D8E"/>
    <w:rsid w:val="0A7129CF"/>
    <w:rsid w:val="0BA57E29"/>
    <w:rsid w:val="17D817EB"/>
    <w:rsid w:val="18436C3D"/>
    <w:rsid w:val="18FA2C5D"/>
    <w:rsid w:val="21A21D1B"/>
    <w:rsid w:val="24160F06"/>
    <w:rsid w:val="24381C1B"/>
    <w:rsid w:val="29503F45"/>
    <w:rsid w:val="2BCC0A43"/>
    <w:rsid w:val="2F195013"/>
    <w:rsid w:val="2F410C05"/>
    <w:rsid w:val="34962125"/>
    <w:rsid w:val="355862C2"/>
    <w:rsid w:val="43621E87"/>
    <w:rsid w:val="451D46D8"/>
    <w:rsid w:val="45DB6EC6"/>
    <w:rsid w:val="481C2124"/>
    <w:rsid w:val="4FB358E3"/>
    <w:rsid w:val="51291565"/>
    <w:rsid w:val="516D71A6"/>
    <w:rsid w:val="544937A7"/>
    <w:rsid w:val="55E02068"/>
    <w:rsid w:val="57C9498A"/>
    <w:rsid w:val="653E2521"/>
    <w:rsid w:val="6B3B1299"/>
    <w:rsid w:val="74030C6F"/>
    <w:rsid w:val="752A3280"/>
    <w:rsid w:val="77AB7EAF"/>
    <w:rsid w:val="799F7268"/>
    <w:rsid w:val="7D3443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5">
    <w:name w:val="heading 1"/>
    <w:basedOn w:val="1"/>
    <w:next w:val="1"/>
    <w:uiPriority w:val="0"/>
    <w:pPr>
      <w:keepNext/>
      <w:keepLines/>
      <w:widowControl w:val="0"/>
      <w:spacing w:before="340" w:after="330" w:line="578" w:lineRule="auto"/>
      <w:outlineLvl w:val="0"/>
    </w:pPr>
    <w:rPr>
      <w:b/>
      <w:kern w:val="44"/>
      <w:sz w:val="44"/>
    </w:rPr>
  </w:style>
  <w:style w:type="paragraph" w:styleId="6">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7">
    <w:name w:val="heading 3"/>
    <w:basedOn w:val="1"/>
    <w:next w:val="1"/>
    <w:uiPriority w:val="0"/>
    <w:pPr>
      <w:keepNext/>
      <w:keepLines/>
      <w:widowControl w:val="0"/>
      <w:spacing w:before="260" w:after="260" w:line="415" w:lineRule="auto"/>
      <w:outlineLvl w:val="2"/>
    </w:pPr>
    <w:rPr>
      <w:b/>
      <w:sz w:val="32"/>
    </w:rPr>
  </w:style>
  <w:style w:type="character" w:default="1" w:styleId="18">
    <w:name w:val="Default Paragraph Font"/>
    <w:uiPriority w:val="0"/>
  </w:style>
  <w:style w:type="table" w:default="1" w:styleId="16">
    <w:name w:val="Normal Table"/>
    <w:semiHidden/>
    <w:uiPriority w:val="0"/>
    <w:tblPr>
      <w:tblStyle w:val="16"/>
      <w:tblCellMar>
        <w:top w:w="0" w:type="dxa"/>
        <w:left w:w="108" w:type="dxa"/>
        <w:bottom w:w="0" w:type="dxa"/>
        <w:right w:w="108" w:type="dxa"/>
      </w:tblCellMar>
    </w:tblPr>
  </w:style>
  <w:style w:type="paragraph" w:customStyle="1" w:styleId="2">
    <w:name w:val="Body Text First Indent 21"/>
    <w:basedOn w:val="3"/>
    <w:qFormat/>
    <w:uiPriority w:val="0"/>
    <w:pPr>
      <w:spacing w:after="0"/>
      <w:ind w:firstLine="420" w:firstLineChars="200"/>
    </w:pPr>
  </w:style>
  <w:style w:type="paragraph" w:customStyle="1" w:styleId="3">
    <w:name w:val="Body Text Indent1"/>
    <w:basedOn w:val="1"/>
    <w:next w:val="4"/>
    <w:qFormat/>
    <w:uiPriority w:val="0"/>
    <w:pPr>
      <w:spacing w:after="120"/>
      <w:ind w:left="420" w:leftChars="200"/>
    </w:pPr>
    <w:rPr>
      <w:rFonts w:ascii="Calibri" w:hAnsi="Calibri" w:eastAsia="宋体" w:cs="Times New Roman"/>
      <w:sz w:val="21"/>
    </w:rPr>
  </w:style>
  <w:style w:type="paragraph" w:customStyle="1" w:styleId="4">
    <w:name w:val="Normal Indent1"/>
    <w:basedOn w:val="1"/>
    <w:qFormat/>
    <w:uiPriority w:val="0"/>
    <w:pPr>
      <w:ind w:firstLine="420" w:firstLineChars="200"/>
    </w:pPr>
    <w:rPr>
      <w:rFonts w:ascii="Calibri" w:hAnsi="Calibri" w:eastAsia="仿宋" w:cs="Times New Roman"/>
    </w:rPr>
  </w:style>
  <w:style w:type="paragraph" w:styleId="8">
    <w:name w:val="Normal Indent"/>
    <w:basedOn w:val="1"/>
    <w:next w:val="9"/>
    <w:qFormat/>
    <w:uiPriority w:val="0"/>
    <w:pPr>
      <w:ind w:firstLine="420" w:firstLineChars="200"/>
    </w:pPr>
    <w:rPr>
      <w:rFonts w:eastAsia="仿宋"/>
      <w:sz w:val="32"/>
    </w:rPr>
  </w:style>
  <w:style w:type="paragraph" w:styleId="9">
    <w:name w:val="toc 2"/>
    <w:basedOn w:val="1"/>
    <w:next w:val="1"/>
    <w:qFormat/>
    <w:uiPriority w:val="0"/>
    <w:pPr>
      <w:ind w:left="420" w:leftChars="200"/>
    </w:pPr>
  </w:style>
  <w:style w:type="paragraph" w:styleId="10">
    <w:name w:val="Body Text Indent"/>
    <w:basedOn w:val="1"/>
    <w:next w:val="8"/>
    <w:qFormat/>
    <w:uiPriority w:val="0"/>
    <w:pPr>
      <w:spacing w:after="120"/>
      <w:ind w:left="420" w:leftChars="200"/>
    </w:pPr>
    <w:rPr>
      <w:rFonts w:eastAsia="宋体"/>
      <w:sz w:val="21"/>
    </w:rPr>
  </w:style>
  <w:style w:type="paragraph" w:styleId="11">
    <w:name w:val="Plain Text"/>
    <w:uiPriority w:val="0"/>
    <w:pPr>
      <w:widowControl w:val="0"/>
      <w:jc w:val="both"/>
    </w:pPr>
    <w:rPr>
      <w:rFonts w:ascii="宋体" w:eastAsia="宋体" w:cs="Courier New"/>
      <w:kern w:val="2"/>
      <w:sz w:val="21"/>
      <w:szCs w:val="21"/>
      <w:lang w:val="en-US" w:eastAsia="zh-CN" w:bidi="ar-SA"/>
    </w:rPr>
  </w:style>
  <w:style w:type="paragraph" w:styleId="12">
    <w:name w:val="footer"/>
    <w:basedOn w:val="1"/>
    <w:uiPriority w:val="0"/>
    <w:pPr>
      <w:tabs>
        <w:tab w:val="center" w:pos="4153"/>
        <w:tab w:val="right" w:pos="8307"/>
      </w:tabs>
      <w:snapToGrid w:val="0"/>
      <w:jc w:val="left"/>
    </w:pPr>
    <w:rPr>
      <w:sz w:val="18"/>
    </w:rPr>
  </w:style>
  <w:style w:type="paragraph" w:styleId="13">
    <w:name w:val="header"/>
    <w:basedOn w:val="1"/>
    <w:uiPriority w:val="0"/>
    <w:pPr>
      <w:pBdr>
        <w:bottom w:val="single" w:color="auto" w:sz="6" w:space="1"/>
      </w:pBdr>
      <w:tabs>
        <w:tab w:val="center" w:pos="4153"/>
        <w:tab w:val="right" w:pos="8307"/>
      </w:tabs>
      <w:snapToGrid w:val="0"/>
      <w:jc w:val="center"/>
    </w:pPr>
    <w:rPr>
      <w:sz w:val="18"/>
    </w:rPr>
  </w:style>
  <w:style w:type="paragraph" w:styleId="14">
    <w:name w:val="Normal (Web)"/>
    <w:basedOn w:val="1"/>
    <w:next w:val="1"/>
    <w:uiPriority w:val="0"/>
    <w:pPr>
      <w:widowControl/>
      <w:spacing w:before="100" w:beforeAutospacing="1" w:after="100" w:afterAutospacing="1"/>
      <w:jc w:val="left"/>
    </w:pPr>
    <w:rPr>
      <w:rFonts w:ascii="宋体" w:eastAsia="宋体" w:cs="宋体"/>
      <w:kern w:val="0"/>
      <w:sz w:val="24"/>
      <w:szCs w:val="24"/>
      <w:lang w:val="en-US" w:eastAsia="zh-CN" w:bidi="ar-SA"/>
    </w:rPr>
  </w:style>
  <w:style w:type="paragraph" w:styleId="15">
    <w:name w:val="Body Text First Indent 2"/>
    <w:basedOn w:val="10"/>
    <w:next w:val="1"/>
    <w:qFormat/>
    <w:uiPriority w:val="0"/>
    <w:pPr>
      <w:spacing w:after="0"/>
      <w:ind w:firstLine="420" w:firstLineChars="200"/>
    </w:pPr>
    <w:rPr>
      <w:rFonts w:ascii="Calibri" w:hAnsi="Calibri" w:eastAsia="宋体" w:cs="Times New Roman"/>
    </w:rPr>
  </w:style>
  <w:style w:type="table" w:styleId="17">
    <w:name w:val="Table Grid"/>
    <w:basedOn w:val="16"/>
    <w:qFormat/>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uiPriority w:val="0"/>
  </w:style>
  <w:style w:type="character" w:styleId="20">
    <w:name w:val="Hyperlink"/>
    <w:uiPriority w:val="0"/>
    <w:rPr>
      <w:color w:val="0000FF"/>
      <w:u w:val="single"/>
    </w:rPr>
  </w:style>
  <w:style w:type="paragraph" w:customStyle="1" w:styleId="21">
    <w:name w:val="List Paragraph1"/>
    <w:next w:val="12"/>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22">
    <w:name w:val="Body text|1"/>
    <w:basedOn w:val="1"/>
    <w:qFormat/>
    <w:uiPriority w:val="0"/>
    <w:pPr>
      <w:widowControl w:val="0"/>
      <w:shd w:val="clear" w:color="auto" w:fill="auto"/>
      <w:spacing w:line="406" w:lineRule="auto"/>
      <w:ind w:firstLine="400"/>
    </w:pPr>
    <w:rPr>
      <w:rFonts w:ascii="MingLiU" w:hAnsi="MingLiU" w:eastAsia="MingLiU" w:cs="MingLiU"/>
      <w:sz w:val="18"/>
      <w:szCs w:val="18"/>
      <w:u w:val="none"/>
      <w:shd w:val="clear" w:color="auto" w:fill="auto"/>
      <w:lang w:val="zh-TW" w:eastAsia="zh-TW" w:bidi="zh-TW"/>
    </w:rPr>
  </w:style>
  <w:style w:type="character" w:customStyle="1" w:styleId="23">
    <w:name w:val="font41"/>
    <w:basedOn w:val="18"/>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白城市住房和城乡建设局</Company>
  <TotalTime>6</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2017-02-17T02:48:00Z</dcterms:created>
  <dc:creator>Windows 用户</dc:creator>
  <cp:lastModifiedBy>A!思钱想厚！</cp:lastModifiedBy>
  <cp:lastPrinted>2022-01-29T07:24:20Z</cp:lastPrinted>
  <dcterms:modified xsi:type="dcterms:W3CDTF">2022-02-15T06:37:02Z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9016E5F0BD1B47DFB6A3BC1E97447E74</vt:lpwstr>
  </property>
</Properties>
</file>