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b/>
          <w:color w:val="EB2826"/>
        </w:rPr>
      </w:pPr>
      <w:r>
        <w:rPr>
          <w:b/>
          <w:color w:val="EB2826"/>
          <w:bdr w:val="none" w:color="auto" w:sz="0" w:space="0"/>
        </w:rPr>
        <w:t>白城市查干浩特旅游经济开发区2016铁西兴隆棚户区（城中村）配套基础设施建设项目（施工）</w:t>
      </w:r>
    </w:p>
    <w:tbl>
      <w:tblPr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888"/>
        <w:gridCol w:w="2644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白城市查干浩特旅游经济开发区</w:t>
            </w:r>
            <w:r>
              <w:rPr>
                <w:rFonts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铁西兴隆棚户区（城中村）配套基础设施建设项</w:t>
            </w:r>
            <w:r>
              <w:rPr>
                <w:rFonts w:hint="eastAsia" w:ascii="仿宋_GB2312" w:hAnsi="仿宋_GB2312" w:eastAsia="宋体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（施工）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中标人名称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长春路桥交通设施工程有限公司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投标报价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310" w:firstLineChars="110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23953071.00元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质量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工程质量要求符合国家现行施工验收规范达到合格标准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工期（交货期）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计划开工日期为 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</w:t>
            </w:r>
            <w:r>
              <w:rPr>
                <w:rFonts w:hint="eastAsia" w:ascii="仿宋" w:hAnsi="仿宋" w:eastAsia="宋体" w:cs="宋体"/>
                <w:b w:val="0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9年1月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仿宋" w:hAnsi="仿宋" w:eastAsia="宋体" w:cs="宋体"/>
                <w:b w:val="0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，计划竣工日期为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eastAsia" w:ascii="仿宋" w:hAnsi="仿宋" w:eastAsia="宋体" w:cs="宋体"/>
                <w:b w:val="0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仿宋" w:hAnsi="仿宋" w:eastAsia="宋体" w:cs="宋体"/>
                <w:b w:val="0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仿宋" w:hAnsi="仿宋" w:eastAsia="宋体" w:cs="宋体"/>
                <w:b w:val="0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项目负责人姓名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杨永成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职称证书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注册执业资格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二级建造师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张志宇 签于 2019/01/21 14:19: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志宇 签于 2019/01/21 14:19: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2" descr="张志宇 签于 2019/01/21 14:19: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张志宇 签于 2019/01/21 14:19: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70CA4"/>
    <w:rsid w:val="04A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uiPriority w:val="0"/>
    <w:rPr>
      <w:bdr w:val="none" w:color="auto" w:sz="0" w:space="0"/>
    </w:rPr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2019-06-20T01:49:00Z</dcterms:created>
  <dc:creator>Administrator</dc:creator>
  <cp:lastModifiedBy>Administrator</cp:lastModifiedBy>
  <dcterms:modified xsi:type="dcterms:W3CDTF">2019-06-20T01:50:14Z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