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EB2826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EB2826"/>
          <w:spacing w:val="0"/>
          <w:sz w:val="24"/>
          <w:szCs w:val="24"/>
        </w:rPr>
        <w:t>白城市老城区综合提升改造白城职业技术学院消防及外网工程监理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  <w:t>吉林省房屋建筑和市政基础设施工程项目中标结果公示表</w:t>
      </w:r>
    </w:p>
    <w:tbl>
      <w:tblPr>
        <w:tblStyle w:val="3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白城市老城区综合提升改造白城职业技术学院消防及外网工程监理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吉林省锋华建设管理有限公司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折扣系数0.59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签订合同之日起至工程竣工验收、工程保修期结束之日止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王莉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注册监理工程师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招标代理机构法定代表人：                （签名）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招标代理机构：吉林省正祯工程咨询有限公司（盖章）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EB2826"/>
          <w:spacing w:val="0"/>
          <w:sz w:val="24"/>
          <w:szCs w:val="24"/>
        </w:rPr>
      </w:pPr>
      <w:r>
        <w:rPr>
          <w:rFonts w:ascii="宋体" w:hAnsi="宋体" w:eastAsia="宋体" w:cs="宋体"/>
          <w:b/>
          <w:i w:val="0"/>
          <w:caps w:val="0"/>
          <w:color w:val="EB2826"/>
          <w:spacing w:val="0"/>
          <w:sz w:val="24"/>
          <w:szCs w:val="24"/>
        </w:rPr>
        <w:t>白城市老城区综合提升改造白城职业技术学院消防及外网工程施工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  <w:t>吉林省房屋建筑和市政基础设施工程项目中标结果公示表</w:t>
      </w:r>
    </w:p>
    <w:tbl>
      <w:tblPr>
        <w:tblStyle w:val="3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800"/>
        <w:gridCol w:w="2520"/>
        <w:gridCol w:w="2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6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白城市老城区综合提升改造白城职业技术学院消防及外网工程施工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中标人名称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白城市红日路桥建设有限公司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投标报价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7668757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工期（交货期）</w:t>
            </w:r>
          </w:p>
        </w:tc>
        <w:tc>
          <w:tcPr>
            <w:tcW w:w="66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2019年5月12日至2019年8月30日，共111日历天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项目负责人姓名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余剑飞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职称证书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注册执业资格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二级建造师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</w:pP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招标代理机构法定代表人：                （签名）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招标代理机构：吉林省正祯工程咨询有限公司（盖章）</w:t>
      </w:r>
    </w:p>
    <w:p/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73C9"/>
    <w:rsid w:val="4B0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2019-06-20T02:57:00Z</dcterms:created>
  <dc:creator>Administrator</dc:creator>
  <cp:lastModifiedBy>Administrator</cp:lastModifiedBy>
  <dcterms:modified xsi:type="dcterms:W3CDTF">2019-06-20T02:58:02Z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